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p>
    <w:p>
      <w:pPr>
        <w:spacing w:before="0" w:after="0"/>
      </w:pPr>
    </w:p>
    <w:p>
      <w:pPr>
        <w:spacing w:before="0" w:after="0"/>
      </w:pPr>
    </w:p>
    <w:p>
      <w:pPr>
        <w:spacing w:before="0" w:after="0"/>
      </w:pPr>
    </w:p>
    <w:p>
      <w:pPr>
        <w:spacing w:before="0" w:after="0"/>
      </w:pPr>
    </w:p>
    <w:p>
      <w:pPr>
        <w:spacing w:before="0" w:after="0"/>
      </w:pPr>
    </w:p>
    <w:p>
      <w:pPr>
        <w:spacing w:before="0" w:after="240"/>
        <w:jc w:val="center"/>
      </w:pPr>
      <w:r>
        <w:rPr>
          <w:rFonts w:ascii="Calibri" w:hAnsi="Calibri"/>
          <w:b/>
          <w:color w:val="0A1931"/>
          <w:sz w:val="56"/>
        </w:rPr>
        <w:t>What Nobody Tells You About Executive Comp</w:t>
      </w:r>
    </w:p>
    <w:p>
      <w:pPr>
        <w:spacing w:before="80" w:after="160"/>
        <w:jc w:val="center"/>
      </w:pPr>
      <w:r>
        <w:rPr>
          <w:rFonts w:ascii="Calibri" w:hAnsi="Calibri"/>
          <w:i/>
          <w:color w:val="0068B5"/>
          <w:sz w:val="28"/>
        </w:rPr>
        <w:t>Boss Playbook — For Senior Executives</w:t>
      </w:r>
    </w:p>
    <w:p>
      <w:pPr>
        <w:spacing w:before="80" w:after="480"/>
        <w:jc w:val="center"/>
      </w:pPr>
      <w:r>
        <w:rPr>
          <w:rFonts w:ascii="Calibri" w:hAnsi="Calibri"/>
          <w:color w:val="44556A"/>
          <w:sz w:val="24"/>
        </w:rPr>
        <w:t>By Jen | bossplaybook.com</w:t>
      </w:r>
    </w:p>
    <w:p>
      <w:pPr>
        <w:spacing w:before="0" w:after="0"/>
        <w:jc w:val="center"/>
      </w:pPr>
      <w:r>
        <w:rPr>
          <w:rFonts w:ascii="Calibri" w:hAnsi="Calibri"/>
          <w:color w:val="0068B5"/>
          <w:sz w:val="24"/>
        </w:rPr>
        <w:t>────────────────────────────────────────────────────────────</w:t>
      </w:r>
    </w:p>
    <w:p>
      <w:pPr>
        <w:spacing w:after="0"/>
      </w:pPr>
    </w:p>
    <w:p>
      <w:pPr>
        <w:spacing w:after="0"/>
      </w:pPr>
    </w:p>
    <w:p>
      <w:pPr>
        <w:spacing w:before="200" w:after="60"/>
        <w:jc w:val="left"/>
      </w:pPr>
      <w:r>
        <w:rPr>
          <w:rFonts w:ascii="Calibri" w:hAnsi="Calibri"/>
          <w:b/>
          <w:i/>
          <w:color w:val="0068B5"/>
          <w:sz w:val="22"/>
        </w:rPr>
        <w:t>A Boss Playbook Guide</w:t>
      </w:r>
    </w:p>
    <w:p>
      <w:pPr>
        <w:spacing w:before="0" w:after="140" w:lineRule="auto" w:line="276"/>
        <w:jc w:val="left"/>
      </w:pPr>
      <w:r>
        <w:rPr>
          <w:rFonts w:ascii="Calibri" w:hAnsi="Calibri"/>
          <w:b w:val="0"/>
          <w:i/>
          <w:color w:val="44556A"/>
          <w:sz w:val="22"/>
        </w:rPr>
        <w:t>The short, blunt version of everything your offer letter isn't saying.</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Introduction: The Offer Letter Is Not the Compensation Package</w:t>
      </w:r>
    </w:p>
    <w:p>
      <w:pPr>
        <w:spacing w:before="0" w:after="140" w:lineRule="auto" w:line="276"/>
        <w:jc w:val="left"/>
      </w:pPr>
      <w:r>
        <w:rPr>
          <w:rFonts w:ascii="Calibri" w:hAnsi="Calibri"/>
          <w:b w:val="0"/>
          <w:i w:val="0"/>
          <w:color w:val="44556A"/>
          <w:sz w:val="22"/>
        </w:rPr>
        <w:t>Read an executive offer letter sometime with a red pen and a suspicious mind. It's a remarkable document — every number in it is technically true, and the total impression it creates is off by 20 to 40 percent.</w:t>
      </w:r>
    </w:p>
    <w:p>
      <w:pPr>
        <w:spacing w:before="0" w:after="140" w:lineRule="auto" w:line="276"/>
        <w:jc w:val="left"/>
      </w:pPr>
      <w:r>
        <w:rPr>
          <w:rFonts w:ascii="Calibri" w:hAnsi="Calibri"/>
          <w:b w:val="0"/>
          <w:i w:val="0"/>
          <w:color w:val="44556A"/>
          <w:sz w:val="22"/>
        </w:rPr>
        <w:t xml:space="preserve">The base salary is real. The "target bonus of up to 40%" is real, in the sense that 40% is a number that exists. The equity grant is real, valued at a price someone chose, under assumptions nobody attached. What's </w:t>
      </w:r>
      <w:r>
        <w:rPr>
          <w:rFonts w:ascii="Calibri" w:hAnsi="Calibri"/>
          <w:b w:val="0"/>
          <w:i/>
          <w:color w:val="44556A"/>
          <w:sz w:val="22"/>
        </w:rPr>
        <w:t>not</w:t>
      </w:r>
      <w:r>
        <w:rPr>
          <w:rFonts w:ascii="Calibri" w:hAnsi="Calibri"/>
          <w:b w:val="0"/>
          <w:i w:val="0"/>
          <w:color w:val="44556A"/>
          <w:sz w:val="22"/>
        </w:rPr>
        <w:t xml:space="preserve"> in the letter is everything that determines what you'll actually bank: the historical bonus payout rate, the liquidation preferences sitting above your shares, the refresh policy that decides whether your equity decays to zero influence by year three, the benefits that exist but are never volunteered, and the severance terms that don't exist until you ask.</w:t>
      </w:r>
    </w:p>
    <w:p>
      <w:pPr>
        <w:spacing w:before="0" w:after="140" w:lineRule="auto" w:line="276"/>
        <w:jc w:val="left"/>
      </w:pPr>
      <w:r>
        <w:rPr>
          <w:rFonts w:ascii="Calibri" w:hAnsi="Calibri"/>
          <w:b w:val="0"/>
          <w:i w:val="0"/>
          <w:color w:val="44556A"/>
          <w:sz w:val="22"/>
        </w:rPr>
        <w:t xml:space="preserve">Offer letters aren't dishonest. They're </w:t>
      </w:r>
      <w:r>
        <w:rPr>
          <w:rFonts w:ascii="Calibri" w:hAnsi="Calibri"/>
          <w:b w:val="0"/>
          <w:i/>
          <w:color w:val="44556A"/>
          <w:sz w:val="22"/>
        </w:rPr>
        <w:t>curated</w:t>
      </w:r>
      <w:r>
        <w:rPr>
          <w:rFonts w:ascii="Calibri" w:hAnsi="Calibri"/>
          <w:b w:val="0"/>
          <w:i w:val="0"/>
          <w:color w:val="44556A"/>
          <w:sz w:val="22"/>
        </w:rPr>
        <w:t xml:space="preserve"> — assembled to present the most attractive true version of the package, by people who do this hundreds of times a year, for a reader who does it maybe five times in a career. That asymmetry is the entire problem, and this guide is the correction.</w:t>
      </w:r>
    </w:p>
    <w:p>
      <w:pPr>
        <w:spacing w:before="0" w:after="140" w:lineRule="auto" w:line="276"/>
        <w:jc w:val="left"/>
      </w:pPr>
      <w:r>
        <w:rPr>
          <w:rFonts w:ascii="Calibri" w:hAnsi="Calibri"/>
          <w:b w:val="0"/>
          <w:i w:val="0"/>
          <w:color w:val="44556A"/>
          <w:sz w:val="22"/>
        </w:rPr>
        <w:t xml:space="preserve">Here's the frame to hold for the next fifteen pages: </w:t>
      </w:r>
      <w:r>
        <w:rPr>
          <w:rFonts w:ascii="Calibri" w:hAnsi="Calibri"/>
          <w:b/>
          <w:i w:val="0"/>
          <w:color w:val="44556A"/>
          <w:sz w:val="22"/>
        </w:rPr>
        <w:t>compensation is not what they offer you. It's what actually lands in your accounts, after payout rates, preferences, taxes, cliffs, and time.</w:t>
      </w:r>
      <w:r>
        <w:rPr>
          <w:rFonts w:ascii="Calibri" w:hAnsi="Calibri"/>
          <w:b w:val="0"/>
          <w:i w:val="0"/>
          <w:color w:val="44556A"/>
          <w:sz w:val="22"/>
        </w:rPr>
        <w:t xml:space="preserve"> Two executives can sign offer letters with identical headline numbers and retire a decade apart in outcomes — not because one negotiated harder, but because one understood the machinery under the numbers and the other took the letter at face value.</w:t>
      </w:r>
    </w:p>
    <w:p>
      <w:pPr>
        <w:spacing w:before="0" w:after="140" w:lineRule="auto" w:line="276"/>
        <w:jc w:val="left"/>
      </w:pPr>
      <w:r>
        <w:rPr>
          <w:rFonts w:ascii="Calibri" w:hAnsi="Calibri"/>
          <w:b w:val="0"/>
          <w:i w:val="0"/>
          <w:color w:val="44556A"/>
          <w:sz w:val="22"/>
        </w:rPr>
        <w:t>Four pieces of machinery, four sections:</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Equity</w:t>
      </w:r>
      <w:r>
        <w:rPr>
          <w:rFonts w:ascii="Calibri" w:hAnsi="Calibri"/>
          <w:b w:val="0"/>
          <w:i w:val="0"/>
          <w:color w:val="44556A"/>
          <w:sz w:val="22"/>
        </w:rPr>
        <w:t xml:space="preserve"> — what your grant is actually worth across the five exits that actually happen, modeled in dollars.</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Bonus architecture</w:t>
      </w:r>
      <w:r>
        <w:rPr>
          <w:rFonts w:ascii="Calibri" w:hAnsi="Calibri"/>
          <w:b w:val="0"/>
          <w:i w:val="0"/>
          <w:color w:val="44556A"/>
          <w:sz w:val="22"/>
        </w:rPr>
        <w:t xml:space="preserve"> — what "up to 40%" has historically paid, and how to find out before you sign.</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The benefits nobody volunteers</w:t>
      </w:r>
      <w:r>
        <w:rPr>
          <w:rFonts w:ascii="Calibri" w:hAnsi="Calibri"/>
          <w:b w:val="0"/>
          <w:i w:val="0"/>
          <w:color w:val="44556A"/>
          <w:sz w:val="22"/>
        </w:rPr>
        <w:t xml:space="preserve"> — sabbaticals, deferred comp, match cliffs, exec physicals, indemnification.</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The $2.5M problem</w:t>
      </w:r>
      <w:r>
        <w:rPr>
          <w:rFonts w:ascii="Calibri" w:hAnsi="Calibri"/>
          <w:b w:val="0"/>
          <w:i w:val="0"/>
          <w:color w:val="44556A"/>
          <w:sz w:val="22"/>
        </w:rPr>
        <w:t xml:space="preserve"> — why executives who earned $8M+ over their careers routinely retire with less than they should, and what the ones who don't did differently in their 40s.</w:t>
      </w:r>
    </w:p>
    <w:p>
      <w:pPr>
        <w:spacing w:before="0" w:after="140" w:lineRule="auto" w:line="276"/>
        <w:jc w:val="left"/>
      </w:pPr>
      <w:r>
        <w:rPr>
          <w:rFonts w:ascii="Calibri" w:hAnsi="Calibri"/>
          <w:b w:val="0"/>
          <w:i w:val="0"/>
          <w:color w:val="44556A"/>
          <w:sz w:val="22"/>
        </w:rPr>
        <w:t>None of this requires an MBA or a tax attorney (though Section 1 will tell you exactly when to hire the attorney). It requires about an hour, this guide, and the willingness to ask questions that recruiters find slightly annoying. Slightly annoying questions are the highest-paid hour of your year.</w:t>
      </w:r>
    </w:p>
    <w:p>
      <w:pPr>
        <w:spacing w:before="0" w:after="140" w:lineRule="auto" w:line="276"/>
        <w:jc w:val="left"/>
      </w:pPr>
      <w:r>
        <w:rPr>
          <w:rFonts w:ascii="Calibri" w:hAnsi="Calibri"/>
          <w:b w:val="0"/>
          <w:i w:val="0"/>
          <w:color w:val="44556A"/>
          <w:sz w:val="22"/>
        </w:rPr>
        <w:t>Let's open the machinery.</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Section 1: The Real Value of Equity — The Five Exits That Actually Happen</w:t>
      </w:r>
    </w:p>
    <w:p>
      <w:pPr>
        <w:spacing w:before="0" w:after="140" w:lineRule="auto" w:line="276"/>
        <w:jc w:val="left"/>
      </w:pPr>
      <w:r>
        <w:rPr>
          <w:rFonts w:ascii="Calibri" w:hAnsi="Calibri"/>
          <w:b w:val="0"/>
          <w:i w:val="0"/>
          <w:color w:val="44556A"/>
          <w:sz w:val="22"/>
        </w:rPr>
        <w:t xml:space="preserve">Meet Maya. Fictional, but you've sat next to her: VP of Product at a Series C software company, 800 employees, last valued at $900M. Her offer included a grant of </w:t>
      </w:r>
      <w:r>
        <w:rPr>
          <w:rFonts w:ascii="Calibri" w:hAnsi="Calibri"/>
          <w:b/>
          <w:i w:val="0"/>
          <w:color w:val="44556A"/>
          <w:sz w:val="22"/>
        </w:rPr>
        <w:t>50,000 units at a $5 reference price</w:t>
      </w:r>
      <w:r>
        <w:rPr>
          <w:rFonts w:ascii="Calibri" w:hAnsi="Calibri"/>
          <w:b w:val="0"/>
          <w:i w:val="0"/>
          <w:color w:val="44556A"/>
          <w:sz w:val="22"/>
        </w:rPr>
        <w:t xml:space="preserve"> — so the recruiter said, "that's $250K of equity, and if we 3× from here, it's worth $750K."</w:t>
      </w:r>
    </w:p>
    <w:p>
      <w:pPr>
        <w:spacing w:before="0" w:after="140" w:lineRule="auto" w:line="276"/>
        <w:jc w:val="left"/>
      </w:pPr>
      <w:r>
        <w:rPr>
          <w:rFonts w:ascii="Calibri" w:hAnsi="Calibri"/>
          <w:b w:val="0"/>
          <w:i w:val="0"/>
          <w:color w:val="44556A"/>
          <w:sz w:val="22"/>
        </w:rPr>
        <w:t xml:space="preserve">That sentence contains the two most expensive assumptions in executive comp. First, the recruiter didn't distinguish </w:t>
      </w:r>
      <w:r>
        <w:rPr>
          <w:rFonts w:ascii="Calibri" w:hAnsi="Calibri"/>
          <w:b w:val="0"/>
          <w:i/>
          <w:color w:val="44556A"/>
          <w:sz w:val="22"/>
        </w:rPr>
        <w:t>which instrument</w:t>
      </w:r>
      <w:r>
        <w:rPr>
          <w:rFonts w:ascii="Calibri" w:hAnsi="Calibri"/>
          <w:b w:val="0"/>
          <w:i w:val="0"/>
          <w:color w:val="44556A"/>
          <w:sz w:val="22"/>
        </w:rPr>
        <w:t xml:space="preserve"> Maya holds — and "50K units at $5" means radically different things as RSUs versus options. Second, "if we 3×" quietly skipped over who gets paid </w:t>
      </w:r>
      <w:r>
        <w:rPr>
          <w:rFonts w:ascii="Calibri" w:hAnsi="Calibri"/>
          <w:b w:val="0"/>
          <w:i/>
          <w:color w:val="44556A"/>
          <w:sz w:val="22"/>
        </w:rPr>
        <w:t>first</w:t>
      </w:r>
      <w:r>
        <w:rPr>
          <w:rFonts w:ascii="Calibri" w:hAnsi="Calibri"/>
          <w:b w:val="0"/>
          <w:i w:val="0"/>
          <w:color w:val="44556A"/>
          <w:sz w:val="22"/>
        </w:rPr>
        <w:t xml:space="preserve"> when the company exits. Let's fix both, because your offer letter will contain the same ambiguities, and companies rarely resent the clarifying questions — they resent the executive who's angry three years later.</w:t>
      </w:r>
    </w:p>
    <w:p>
      <w:pPr>
        <w:spacing w:before="0" w:after="140" w:lineRule="auto" w:line="276"/>
        <w:jc w:val="left"/>
      </w:pPr>
      <w:r>
        <w:rPr>
          <w:rFonts w:ascii="Calibri" w:hAnsi="Calibri"/>
          <w:b/>
          <w:i w:val="0"/>
          <w:color w:val="44556A"/>
          <w:sz w:val="22"/>
        </w:rPr>
        <w:t>The instrument question.</w:t>
      </w:r>
      <w:r>
        <w:rPr>
          <w:rFonts w:ascii="Calibri" w:hAnsi="Calibri"/>
          <w:b w:val="0"/>
          <w:i w:val="0"/>
          <w:color w:val="44556A"/>
          <w:sz w:val="22"/>
        </w:rPr>
        <w:t xml:space="preserve"> If Maya holds </w:t>
      </w:r>
      <w:r>
        <w:rPr>
          <w:rFonts w:ascii="Calibri" w:hAnsi="Calibri"/>
          <w:b/>
          <w:i w:val="0"/>
          <w:color w:val="44556A"/>
          <w:sz w:val="22"/>
        </w:rPr>
        <w:t>options with a $5 strike</w:t>
      </w:r>
      <w:r>
        <w:rPr>
          <w:rFonts w:ascii="Calibri" w:hAnsi="Calibri"/>
          <w:b w:val="0"/>
          <w:i w:val="0"/>
          <w:color w:val="44556A"/>
          <w:sz w:val="22"/>
        </w:rPr>
        <w:t xml:space="preserve">, she owns the right to buy shares at $5 — her payout is the </w:t>
      </w:r>
      <w:r>
        <w:rPr>
          <w:rFonts w:ascii="Calibri" w:hAnsi="Calibri"/>
          <w:b w:val="0"/>
          <w:i/>
          <w:color w:val="44556A"/>
          <w:sz w:val="22"/>
        </w:rPr>
        <w:t>spread</w:t>
      </w:r>
      <w:r>
        <w:rPr>
          <w:rFonts w:ascii="Calibri" w:hAnsi="Calibri"/>
          <w:b w:val="0"/>
          <w:i w:val="0"/>
          <w:color w:val="44556A"/>
          <w:sz w:val="22"/>
        </w:rPr>
        <w:t xml:space="preserve"> above $5, and below $5 she owns nothing. If she holds </w:t>
      </w:r>
      <w:r>
        <w:rPr>
          <w:rFonts w:ascii="Calibri" w:hAnsi="Calibri"/>
          <w:b/>
          <w:i w:val="0"/>
          <w:color w:val="44556A"/>
          <w:sz w:val="22"/>
        </w:rPr>
        <w:t>RSUs granted when shares were worth $5</w:t>
      </w:r>
      <w:r>
        <w:rPr>
          <w:rFonts w:ascii="Calibri" w:hAnsi="Calibri"/>
          <w:b w:val="0"/>
          <w:i w:val="0"/>
          <w:color w:val="44556A"/>
          <w:sz w:val="22"/>
        </w:rPr>
        <w:t xml:space="preserve">, she owns the shares outright as they vest — worth whatever they're worth, even in a down exit. Same headline "$250K grant." Completely different asset. Your first question on any offer: </w:t>
      </w:r>
      <w:r>
        <w:rPr>
          <w:rFonts w:ascii="Calibri" w:hAnsi="Calibri"/>
          <w:b w:val="0"/>
          <w:i/>
          <w:color w:val="44556A"/>
          <w:sz w:val="22"/>
        </w:rPr>
        <w:t>which one is this?</w:t>
      </w:r>
      <w:r>
        <w:rPr>
          <w:rFonts w:ascii="Calibri" w:hAnsi="Calibri"/>
          <w:b w:val="0"/>
          <w:i w:val="0"/>
          <w:color w:val="44556A"/>
          <w:sz w:val="22"/>
        </w:rPr>
        <w:t xml:space="preserve"> (And if it's a private company: single-trigger or double-trigger RSUs — do they fully vest on time alone, or only when a liquidity event also happens?)</w:t>
      </w:r>
    </w:p>
    <w:p>
      <w:pPr>
        <w:spacing w:before="0" w:after="140" w:lineRule="auto" w:line="276"/>
        <w:jc w:val="left"/>
      </w:pPr>
      <w:r>
        <w:rPr>
          <w:rFonts w:ascii="Calibri" w:hAnsi="Calibri"/>
          <w:b/>
          <w:i w:val="0"/>
          <w:color w:val="44556A"/>
          <w:sz w:val="22"/>
        </w:rPr>
        <w:t>The preference question.</w:t>
      </w:r>
      <w:r>
        <w:rPr>
          <w:rFonts w:ascii="Calibri" w:hAnsi="Calibri"/>
          <w:b w:val="0"/>
          <w:i w:val="0"/>
          <w:color w:val="44556A"/>
          <w:sz w:val="22"/>
        </w:rPr>
        <w:t xml:space="preserve"> Maya's company has raised $220M. Standard terms: investors hold a </w:t>
      </w:r>
      <w:r>
        <w:rPr>
          <w:rFonts w:ascii="Calibri" w:hAnsi="Calibri"/>
          <w:b/>
          <w:i w:val="0"/>
          <w:color w:val="44556A"/>
          <w:sz w:val="22"/>
        </w:rPr>
        <w:t>1× liquidation preference</w:t>
      </w:r>
      <w:r>
        <w:rPr>
          <w:rFonts w:ascii="Calibri" w:hAnsi="Calibri"/>
          <w:b w:val="0"/>
          <w:i w:val="0"/>
          <w:color w:val="44556A"/>
          <w:sz w:val="22"/>
        </w:rPr>
        <w:t xml:space="preserve"> — in a sale, the first $220M off the table goes to preferred shareholders before common (Maya) sees a dollar. Preferences are why "the company sold for $300M!" and "the executives got almost nothing" appear in the same news cycle, over and over.</w:t>
      </w:r>
    </w:p>
    <w:p>
      <w:pPr>
        <w:spacing w:before="0" w:after="140" w:lineRule="auto" w:line="276"/>
        <w:jc w:val="left"/>
      </w:pPr>
      <w:r>
        <w:rPr>
          <w:rFonts w:ascii="Calibri" w:hAnsi="Calibri"/>
          <w:b w:val="0"/>
          <w:i w:val="0"/>
          <w:color w:val="44556A"/>
          <w:sz w:val="22"/>
        </w:rPr>
        <w:t xml:space="preserve">Now the model. Assume ~180M fully diluted shares (so $5/share ≈ the $900M valuation), Maya fully vested at 50K units, $220M in 1× preferences, and — to keep the table honest — payouts shown </w:t>
      </w:r>
      <w:r>
        <w:rPr>
          <w:rFonts w:ascii="Calibri" w:hAnsi="Calibri"/>
          <w:b w:val="0"/>
          <w:i/>
          <w:color w:val="44556A"/>
          <w:sz w:val="22"/>
        </w:rPr>
        <w:t>before</w:t>
      </w:r>
      <w:r>
        <w:rPr>
          <w:rFonts w:ascii="Calibri" w:hAnsi="Calibri"/>
          <w:b w:val="0"/>
          <w:i w:val="0"/>
          <w:color w:val="44556A"/>
          <w:sz w:val="22"/>
        </w:rPr>
        <w:t xml:space="preserve"> tax:</w:t>
      </w:r>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1872"/>
            <w:shd w:val="clear" w:color="auto" w:fill="0068B5"/>
          </w:tcPr>
          <w:p>
            <w:pPr>
              <w:jc w:val="center"/>
            </w:pPr>
            <w:r/>
            <w:r>
              <w:rPr>
                <w:rFonts w:ascii="Calibri" w:hAnsi="Calibri"/>
                <w:b/>
                <w:color w:val="FFFFFF"/>
                <w:sz w:val="18"/>
              </w:rPr>
              <w:t>Exit scenario</w:t>
            </w:r>
          </w:p>
        </w:tc>
        <w:tc>
          <w:tcPr>
            <w:tcW w:type="dxa" w:w="1872"/>
            <w:shd w:val="clear" w:color="auto" w:fill="0068B5"/>
          </w:tcPr>
          <w:p>
            <w:pPr>
              <w:jc w:val="center"/>
            </w:pPr>
            <w:r/>
            <w:r>
              <w:rPr>
                <w:rFonts w:ascii="Calibri" w:hAnsi="Calibri"/>
                <w:b/>
                <w:color w:val="FFFFFF"/>
                <w:sz w:val="18"/>
              </w:rPr>
              <w:t>Company sells for</w:t>
            </w:r>
          </w:p>
        </w:tc>
        <w:tc>
          <w:tcPr>
            <w:tcW w:type="dxa" w:w="1872"/>
            <w:shd w:val="clear" w:color="auto" w:fill="0068B5"/>
          </w:tcPr>
          <w:p>
            <w:pPr>
              <w:jc w:val="center"/>
            </w:pPr>
            <w:r/>
            <w:r>
              <w:rPr>
                <w:rFonts w:ascii="Calibri" w:hAnsi="Calibri"/>
                <w:b/>
                <w:color w:val="FFFFFF"/>
                <w:sz w:val="18"/>
              </w:rPr>
              <w:t>Common share price after preferences*</w:t>
            </w:r>
          </w:p>
        </w:tc>
        <w:tc>
          <w:tcPr>
            <w:tcW w:type="dxa" w:w="1872"/>
            <w:shd w:val="clear" w:color="auto" w:fill="0068B5"/>
          </w:tcPr>
          <w:p>
            <w:pPr>
              <w:jc w:val="center"/>
            </w:pPr>
            <w:r/>
            <w:r>
              <w:rPr>
                <w:rFonts w:ascii="Calibri" w:hAnsi="Calibri"/>
                <w:b/>
                <w:color w:val="FFFFFF"/>
                <w:sz w:val="18"/>
              </w:rPr>
              <w:t>Maya's 50K **RSUs** worth</w:t>
            </w:r>
          </w:p>
        </w:tc>
        <w:tc>
          <w:tcPr>
            <w:tcW w:type="dxa" w:w="1872"/>
            <w:shd w:val="clear" w:color="auto" w:fill="0068B5"/>
          </w:tcPr>
          <w:p>
            <w:pPr>
              <w:jc w:val="center"/>
            </w:pPr>
            <w:r/>
            <w:r>
              <w:rPr>
                <w:rFonts w:ascii="Calibri" w:hAnsi="Calibri"/>
                <w:b/>
                <w:color w:val="FFFFFF"/>
                <w:sz w:val="18"/>
              </w:rPr>
              <w:t>Maya's 50K **options** ($5 strike) worth</w:t>
            </w:r>
          </w:p>
        </w:tc>
      </w:tr>
      <w:tr>
        <w:tc>
          <w:tcPr>
            <w:tcW w:type="dxa" w:w="1872"/>
            <w:shd w:val="clear" w:color="auto" w:fill="F0F5FA"/>
          </w:tcPr>
          <w:p>
            <w:r/>
            <w:r>
              <w:rPr>
                <w:rFonts w:ascii="Calibri" w:hAnsi="Calibri"/>
                <w:b/>
                <w:i w:val="0"/>
                <w:color w:val="44556A"/>
                <w:sz w:val="18"/>
              </w:rPr>
              <w:t>Acquihire</w:t>
            </w:r>
          </w:p>
        </w:tc>
        <w:tc>
          <w:tcPr>
            <w:tcW w:type="dxa" w:w="1872"/>
            <w:shd w:val="clear" w:color="auto" w:fill="F0F5FA"/>
          </w:tcPr>
          <w:p>
            <w:r/>
            <w:r>
              <w:rPr>
                <w:rFonts w:ascii="Calibri" w:hAnsi="Calibri"/>
                <w:b w:val="0"/>
                <w:i w:val="0"/>
                <w:color w:val="44556A"/>
                <w:sz w:val="18"/>
              </w:rPr>
              <w:t>$60M</w:t>
            </w:r>
          </w:p>
        </w:tc>
        <w:tc>
          <w:tcPr>
            <w:tcW w:type="dxa" w:w="1872"/>
            <w:shd w:val="clear" w:color="auto" w:fill="F0F5FA"/>
          </w:tcPr>
          <w:p>
            <w:r/>
            <w:r>
              <w:rPr>
                <w:rFonts w:ascii="Calibri" w:hAnsi="Calibri"/>
                <w:b w:val="0"/>
                <w:i w:val="0"/>
                <w:color w:val="44556A"/>
                <w:sz w:val="18"/>
              </w:rPr>
              <w:t>~$0 (preferences consume everything; acquirer pays retention packages instead)</w:t>
            </w:r>
          </w:p>
        </w:tc>
        <w:tc>
          <w:tcPr>
            <w:tcW w:type="dxa" w:w="1872"/>
            <w:shd w:val="clear" w:color="auto" w:fill="F0F5FA"/>
          </w:tcPr>
          <w:p>
            <w:r/>
            <w:r>
              <w:rPr>
                <w:rFonts w:ascii="Calibri" w:hAnsi="Calibri"/>
                <w:b/>
                <w:i w:val="0"/>
                <w:color w:val="44556A"/>
                <w:sz w:val="18"/>
              </w:rPr>
              <w:t>~$0</w:t>
            </w:r>
          </w:p>
        </w:tc>
        <w:tc>
          <w:tcPr>
            <w:tcW w:type="dxa" w:w="1872"/>
            <w:shd w:val="clear" w:color="auto" w:fill="F0F5FA"/>
          </w:tcPr>
          <w:p>
            <w:r/>
            <w:r>
              <w:rPr>
                <w:rFonts w:ascii="Calibri" w:hAnsi="Calibri"/>
                <w:b/>
                <w:i w:val="0"/>
                <w:color w:val="44556A"/>
                <w:sz w:val="18"/>
              </w:rPr>
              <w:t>$0</w:t>
            </w:r>
          </w:p>
        </w:tc>
      </w:tr>
      <w:tr>
        <w:tc>
          <w:tcPr>
            <w:tcW w:type="dxa" w:w="1872"/>
            <w:shd w:val="clear" w:color="auto" w:fill="FFFFFF"/>
          </w:tcPr>
          <w:p>
            <w:r/>
            <w:r>
              <w:rPr>
                <w:rFonts w:ascii="Calibri" w:hAnsi="Calibri"/>
                <w:b/>
                <w:i w:val="0"/>
                <w:color w:val="44556A"/>
                <w:sz w:val="18"/>
              </w:rPr>
              <w:t>1× acquisition</w:t>
            </w:r>
          </w:p>
        </w:tc>
        <w:tc>
          <w:tcPr>
            <w:tcW w:type="dxa" w:w="1872"/>
            <w:shd w:val="clear" w:color="auto" w:fill="FFFFFF"/>
          </w:tcPr>
          <w:p>
            <w:r/>
            <w:r>
              <w:rPr>
                <w:rFonts w:ascii="Calibri" w:hAnsi="Calibri"/>
                <w:b w:val="0"/>
                <w:i w:val="0"/>
                <w:color w:val="44556A"/>
                <w:sz w:val="18"/>
              </w:rPr>
              <w:t>$900M</w:t>
            </w:r>
          </w:p>
        </w:tc>
        <w:tc>
          <w:tcPr>
            <w:tcW w:type="dxa" w:w="1872"/>
            <w:shd w:val="clear" w:color="auto" w:fill="FFFFFF"/>
          </w:tcPr>
          <w:p>
            <w:r/>
            <w:r>
              <w:rPr>
                <w:rFonts w:ascii="Calibri" w:hAnsi="Calibri"/>
                <w:b w:val="0"/>
                <w:i w:val="0"/>
                <w:color w:val="44556A"/>
                <w:sz w:val="18"/>
              </w:rPr>
              <w:t>~$3.80</w:t>
            </w:r>
          </w:p>
        </w:tc>
        <w:tc>
          <w:tcPr>
            <w:tcW w:type="dxa" w:w="1872"/>
            <w:shd w:val="clear" w:color="auto" w:fill="FFFFFF"/>
          </w:tcPr>
          <w:p>
            <w:r/>
            <w:r>
              <w:rPr>
                <w:rFonts w:ascii="Calibri" w:hAnsi="Calibri"/>
                <w:b/>
                <w:i w:val="0"/>
                <w:color w:val="44556A"/>
                <w:sz w:val="18"/>
              </w:rPr>
              <w:t>~$190K</w:t>
            </w:r>
          </w:p>
        </w:tc>
        <w:tc>
          <w:tcPr>
            <w:tcW w:type="dxa" w:w="1872"/>
            <w:shd w:val="clear" w:color="auto" w:fill="FFFFFF"/>
          </w:tcPr>
          <w:p>
            <w:r/>
            <w:r>
              <w:rPr>
                <w:rFonts w:ascii="Calibri" w:hAnsi="Calibri"/>
                <w:b/>
                <w:i w:val="0"/>
                <w:color w:val="44556A"/>
                <w:sz w:val="18"/>
              </w:rPr>
              <w:t>$0</w:t>
            </w:r>
            <w:r>
              <w:rPr>
                <w:rFonts w:ascii="Calibri" w:hAnsi="Calibri"/>
                <w:b w:val="0"/>
                <w:i w:val="0"/>
                <w:color w:val="44556A"/>
                <w:sz w:val="18"/>
              </w:rPr>
              <w:t xml:space="preserve"> — underwater</w:t>
            </w:r>
          </w:p>
        </w:tc>
      </w:tr>
      <w:tr>
        <w:tc>
          <w:tcPr>
            <w:tcW w:type="dxa" w:w="1872"/>
            <w:shd w:val="clear" w:color="auto" w:fill="F0F5FA"/>
          </w:tcPr>
          <w:p>
            <w:r/>
            <w:r>
              <w:rPr>
                <w:rFonts w:ascii="Calibri" w:hAnsi="Calibri"/>
                <w:b/>
                <w:i w:val="0"/>
                <w:color w:val="44556A"/>
                <w:sz w:val="18"/>
              </w:rPr>
              <w:t>3× acquisition</w:t>
            </w:r>
          </w:p>
        </w:tc>
        <w:tc>
          <w:tcPr>
            <w:tcW w:type="dxa" w:w="1872"/>
            <w:shd w:val="clear" w:color="auto" w:fill="F0F5FA"/>
          </w:tcPr>
          <w:p>
            <w:r/>
            <w:r>
              <w:rPr>
                <w:rFonts w:ascii="Calibri" w:hAnsi="Calibri"/>
                <w:b w:val="0"/>
                <w:i w:val="0"/>
                <w:color w:val="44556A"/>
                <w:sz w:val="18"/>
              </w:rPr>
              <w:t>$2.7B</w:t>
            </w:r>
          </w:p>
        </w:tc>
        <w:tc>
          <w:tcPr>
            <w:tcW w:type="dxa" w:w="1872"/>
            <w:shd w:val="clear" w:color="auto" w:fill="F0F5FA"/>
          </w:tcPr>
          <w:p>
            <w:r/>
            <w:r>
              <w:rPr>
                <w:rFonts w:ascii="Calibri" w:hAnsi="Calibri"/>
                <w:b w:val="0"/>
                <w:i w:val="0"/>
                <w:color w:val="44556A"/>
                <w:sz w:val="18"/>
              </w:rPr>
              <w:t>~$13.75</w:t>
            </w:r>
          </w:p>
        </w:tc>
        <w:tc>
          <w:tcPr>
            <w:tcW w:type="dxa" w:w="1872"/>
            <w:shd w:val="clear" w:color="auto" w:fill="F0F5FA"/>
          </w:tcPr>
          <w:p>
            <w:r/>
            <w:r>
              <w:rPr>
                <w:rFonts w:ascii="Calibri" w:hAnsi="Calibri"/>
                <w:b/>
                <w:i w:val="0"/>
                <w:color w:val="44556A"/>
                <w:sz w:val="18"/>
              </w:rPr>
              <w:t>~$690K</w:t>
            </w:r>
          </w:p>
        </w:tc>
        <w:tc>
          <w:tcPr>
            <w:tcW w:type="dxa" w:w="1872"/>
            <w:shd w:val="clear" w:color="auto" w:fill="F0F5FA"/>
          </w:tcPr>
          <w:p>
            <w:r/>
            <w:r>
              <w:rPr>
                <w:rFonts w:ascii="Calibri" w:hAnsi="Calibri"/>
                <w:b/>
                <w:i w:val="0"/>
                <w:color w:val="44556A"/>
                <w:sz w:val="18"/>
              </w:rPr>
              <w:t>~$438K</w:t>
            </w:r>
          </w:p>
        </w:tc>
      </w:tr>
      <w:tr>
        <w:tc>
          <w:tcPr>
            <w:tcW w:type="dxa" w:w="1872"/>
            <w:shd w:val="clear" w:color="auto" w:fill="FFFFFF"/>
          </w:tcPr>
          <w:p>
            <w:r/>
            <w:r>
              <w:rPr>
                <w:rFonts w:ascii="Calibri" w:hAnsi="Calibri"/>
                <w:b/>
                <w:i w:val="0"/>
                <w:color w:val="44556A"/>
                <w:sz w:val="18"/>
              </w:rPr>
              <w:t>10× acquisition</w:t>
            </w:r>
          </w:p>
        </w:tc>
        <w:tc>
          <w:tcPr>
            <w:tcW w:type="dxa" w:w="1872"/>
            <w:shd w:val="clear" w:color="auto" w:fill="FFFFFF"/>
          </w:tcPr>
          <w:p>
            <w:r/>
            <w:r>
              <w:rPr>
                <w:rFonts w:ascii="Calibri" w:hAnsi="Calibri"/>
                <w:b w:val="0"/>
                <w:i w:val="0"/>
                <w:color w:val="44556A"/>
                <w:sz w:val="18"/>
              </w:rPr>
              <w:t>$9B</w:t>
            </w:r>
          </w:p>
        </w:tc>
        <w:tc>
          <w:tcPr>
            <w:tcW w:type="dxa" w:w="1872"/>
            <w:shd w:val="clear" w:color="auto" w:fill="FFFFFF"/>
          </w:tcPr>
          <w:p>
            <w:r/>
            <w:r>
              <w:rPr>
                <w:rFonts w:ascii="Calibri" w:hAnsi="Calibri"/>
                <w:b w:val="0"/>
                <w:i w:val="0"/>
                <w:color w:val="44556A"/>
                <w:sz w:val="18"/>
              </w:rPr>
              <w:t>~$48.75</w:t>
            </w:r>
          </w:p>
        </w:tc>
        <w:tc>
          <w:tcPr>
            <w:tcW w:type="dxa" w:w="1872"/>
            <w:shd w:val="clear" w:color="auto" w:fill="FFFFFF"/>
          </w:tcPr>
          <w:p>
            <w:r/>
            <w:r>
              <w:rPr>
                <w:rFonts w:ascii="Calibri" w:hAnsi="Calibri"/>
                <w:b/>
                <w:i w:val="0"/>
                <w:color w:val="44556A"/>
                <w:sz w:val="18"/>
              </w:rPr>
              <w:t>~$2.44M</w:t>
            </w:r>
          </w:p>
        </w:tc>
        <w:tc>
          <w:tcPr>
            <w:tcW w:type="dxa" w:w="1872"/>
            <w:shd w:val="clear" w:color="auto" w:fill="FFFFFF"/>
          </w:tcPr>
          <w:p>
            <w:r/>
            <w:r>
              <w:rPr>
                <w:rFonts w:ascii="Calibri" w:hAnsi="Calibri"/>
                <w:b/>
                <w:i w:val="0"/>
                <w:color w:val="44556A"/>
                <w:sz w:val="18"/>
              </w:rPr>
              <w:t>~$2.19M</w:t>
            </w:r>
          </w:p>
        </w:tc>
      </w:tr>
      <w:tr>
        <w:tc>
          <w:tcPr>
            <w:tcW w:type="dxa" w:w="1872"/>
            <w:shd w:val="clear" w:color="auto" w:fill="F0F5FA"/>
          </w:tcPr>
          <w:p>
            <w:r/>
            <w:r>
              <w:rPr>
                <w:rFonts w:ascii="Calibri" w:hAnsi="Calibri"/>
                <w:b/>
                <w:i w:val="0"/>
                <w:color w:val="44556A"/>
                <w:sz w:val="18"/>
              </w:rPr>
              <w:t>IPO</w:t>
            </w:r>
          </w:p>
        </w:tc>
        <w:tc>
          <w:tcPr>
            <w:tcW w:type="dxa" w:w="1872"/>
            <w:shd w:val="clear" w:color="auto" w:fill="F0F5FA"/>
          </w:tcPr>
          <w:p>
            <w:r/>
            <w:r>
              <w:rPr>
                <w:rFonts w:ascii="Calibri" w:hAnsi="Calibri"/>
                <w:b w:val="0"/>
                <w:i w:val="0"/>
                <w:color w:val="44556A"/>
                <w:sz w:val="18"/>
              </w:rPr>
              <w:t>$2.7B valuation</w:t>
            </w:r>
          </w:p>
        </w:tc>
        <w:tc>
          <w:tcPr>
            <w:tcW w:type="dxa" w:w="1872"/>
            <w:shd w:val="clear" w:color="auto" w:fill="F0F5FA"/>
          </w:tcPr>
          <w:p>
            <w:r/>
            <w:r>
              <w:rPr>
                <w:rFonts w:ascii="Calibri" w:hAnsi="Calibri"/>
                <w:b w:val="0"/>
                <w:i w:val="0"/>
                <w:color w:val="44556A"/>
                <w:sz w:val="18"/>
              </w:rPr>
              <w:t>~$15 (preferences convert; add lockup risk)</w:t>
            </w:r>
          </w:p>
        </w:tc>
        <w:tc>
          <w:tcPr>
            <w:tcW w:type="dxa" w:w="1872"/>
            <w:shd w:val="clear" w:color="auto" w:fill="F0F5FA"/>
          </w:tcPr>
          <w:p>
            <w:r/>
            <w:r>
              <w:rPr>
                <w:rFonts w:ascii="Calibri" w:hAnsi="Calibri"/>
                <w:b/>
                <w:i w:val="0"/>
                <w:color w:val="44556A"/>
                <w:sz w:val="18"/>
              </w:rPr>
              <w:t>~$750K</w:t>
            </w:r>
            <w:r>
              <w:rPr>
                <w:rFonts w:ascii="Calibri" w:hAnsi="Calibri"/>
                <w:b w:val="0"/>
                <w:i w:val="0"/>
                <w:color w:val="44556A"/>
                <w:sz w:val="18"/>
              </w:rPr>
              <w:t xml:space="preserve"> </w:t>
            </w:r>
            <w:r>
              <w:rPr>
                <w:rFonts w:ascii="Calibri" w:hAnsi="Calibri"/>
                <w:b w:val="0"/>
                <w:i/>
                <w:color w:val="44556A"/>
                <w:sz w:val="18"/>
              </w:rPr>
              <w:t>at pricing</w:t>
            </w:r>
          </w:p>
        </w:tc>
        <w:tc>
          <w:tcPr>
            <w:tcW w:type="dxa" w:w="1872"/>
            <w:shd w:val="clear" w:color="auto" w:fill="F0F5FA"/>
          </w:tcPr>
          <w:p>
            <w:r/>
            <w:r>
              <w:rPr>
                <w:rFonts w:ascii="Calibri" w:hAnsi="Calibri"/>
                <w:b/>
                <w:i w:val="0"/>
                <w:color w:val="44556A"/>
                <w:sz w:val="18"/>
              </w:rPr>
              <w:t>~$500K</w:t>
            </w:r>
            <w:r>
              <w:rPr>
                <w:rFonts w:ascii="Calibri" w:hAnsi="Calibri"/>
                <w:b w:val="0"/>
                <w:i w:val="0"/>
                <w:color w:val="44556A"/>
                <w:sz w:val="18"/>
              </w:rPr>
              <w:t xml:space="preserve"> </w:t>
            </w:r>
            <w:r>
              <w:rPr>
                <w:rFonts w:ascii="Calibri" w:hAnsi="Calibri"/>
                <w:b w:val="0"/>
                <w:i/>
                <w:color w:val="44556A"/>
                <w:sz w:val="18"/>
              </w:rPr>
              <w:t>at pricing</w:t>
            </w:r>
          </w:p>
        </w:tc>
      </w:tr>
    </w:tbl>
    <w:p>
      <w:pPr>
        <w:spacing w:after="120"/>
      </w:pPr>
    </w:p>
    <w:p>
      <w:pPr>
        <w:spacing w:before="0" w:after="140" w:lineRule="auto" w:line="276"/>
        <w:jc w:val="left"/>
      </w:pPr>
      <w:r>
        <w:rPr>
          <w:rFonts w:ascii="Calibri" w:hAnsi="Calibri"/>
          <w:b w:val="0"/>
          <w:i/>
          <w:color w:val="44556A"/>
          <w:sz w:val="22"/>
        </w:rPr>
        <w:t>\</w:t>
      </w:r>
      <w:r>
        <w:rPr>
          <w:rFonts w:ascii="Calibri" w:hAnsi="Calibri"/>
          <w:b w:val="0"/>
          <w:i w:val="0"/>
          <w:color w:val="44556A"/>
          <w:sz w:val="22"/>
        </w:rPr>
        <w:t>Simplified: (sale price − $220M preferences) ÷ 180M shares. Real cap tables add participation rights, option-pool effects, and deal fees — directionally, reality is slightly worse than this table.</w:t>
      </w:r>
    </w:p>
    <w:p>
      <w:pPr>
        <w:spacing w:before="0" w:after="140" w:lineRule="auto" w:line="276"/>
        <w:jc w:val="left"/>
      </w:pPr>
      <w:r>
        <w:rPr>
          <w:rFonts w:ascii="Calibri" w:hAnsi="Calibri"/>
          <w:b w:val="0"/>
          <w:i w:val="0"/>
          <w:color w:val="44556A"/>
          <w:sz w:val="22"/>
        </w:rPr>
        <w:t>Five things the table teaches that no recruiter will:</w:t>
      </w:r>
    </w:p>
    <w:p>
      <w:pPr>
        <w:spacing w:before="0" w:after="140" w:lineRule="auto" w:line="276"/>
        <w:jc w:val="left"/>
      </w:pPr>
      <w:r>
        <w:rPr>
          <w:rFonts w:ascii="Calibri" w:hAnsi="Calibri"/>
          <w:b/>
          <w:i w:val="0"/>
          <w:color w:val="44556A"/>
          <w:sz w:val="22"/>
        </w:rPr>
        <w:t>1. The "current value" of your grant describes exactly one scenario — and it's not the likely one.</w:t>
      </w:r>
      <w:r>
        <w:rPr>
          <w:rFonts w:ascii="Calibri" w:hAnsi="Calibri"/>
          <w:b w:val="0"/>
          <w:i w:val="0"/>
          <w:color w:val="44556A"/>
          <w:sz w:val="22"/>
        </w:rPr>
        <w:t xml:space="preserve"> Maya's "$250K of equity" pays $250K only in a clean exit at today's valuation </w:t>
      </w:r>
      <w:r>
        <w:rPr>
          <w:rFonts w:ascii="Calibri" w:hAnsi="Calibri"/>
          <w:b w:val="0"/>
          <w:i/>
          <w:color w:val="44556A"/>
          <w:sz w:val="22"/>
        </w:rPr>
        <w:t>if she holds RSUs</w:t>
      </w:r>
      <w:r>
        <w:rPr>
          <w:rFonts w:ascii="Calibri" w:hAnsi="Calibri"/>
          <w:b w:val="0"/>
          <w:i w:val="0"/>
          <w:color w:val="44556A"/>
          <w:sz w:val="22"/>
        </w:rPr>
        <w:t>. If she holds options, the same headline scenario pays her zero. The grant's advertised value is a coordinate, not a promise.</w:t>
      </w:r>
    </w:p>
    <w:p>
      <w:pPr>
        <w:spacing w:before="0" w:after="140" w:lineRule="auto" w:line="276"/>
        <w:jc w:val="left"/>
      </w:pPr>
      <w:r>
        <w:rPr>
          <w:rFonts w:ascii="Calibri" w:hAnsi="Calibri"/>
          <w:b/>
          <w:i w:val="0"/>
          <w:color w:val="44556A"/>
          <w:sz w:val="22"/>
        </w:rPr>
        <w:t>2. Preferences turn "successful exits" into wipeouts.</w:t>
      </w:r>
      <w:r>
        <w:rPr>
          <w:rFonts w:ascii="Calibri" w:hAnsi="Calibri"/>
          <w:b w:val="0"/>
          <w:i w:val="0"/>
          <w:color w:val="44556A"/>
          <w:sz w:val="22"/>
        </w:rPr>
        <w:t xml:space="preserve"> The 1× acquisition — the company sells for exactly its last valuation, which everyone will call a solid outcome — pays Maya's options </w:t>
      </w:r>
      <w:r>
        <w:rPr>
          <w:rFonts w:ascii="Calibri" w:hAnsi="Calibri"/>
          <w:b w:val="0"/>
          <w:i/>
          <w:color w:val="44556A"/>
          <w:sz w:val="22"/>
        </w:rPr>
        <w:t>nothing</w:t>
      </w:r>
      <w:r>
        <w:rPr>
          <w:rFonts w:ascii="Calibri" w:hAnsi="Calibri"/>
          <w:b w:val="0"/>
          <w:i w:val="0"/>
          <w:color w:val="44556A"/>
          <w:sz w:val="22"/>
        </w:rPr>
        <w:t xml:space="preserve"> and haircuts her RSUs 24%. The acquihire, spun in the press as a "strategic acquisition," pays common shareholders zero; the acquirer routes money to key employees as </w:t>
      </w:r>
      <w:r>
        <w:rPr>
          <w:rFonts w:ascii="Calibri" w:hAnsi="Calibri"/>
          <w:b w:val="0"/>
          <w:i/>
          <w:color w:val="44556A"/>
          <w:sz w:val="22"/>
        </w:rPr>
        <w:t>new</w:t>
      </w:r>
      <w:r>
        <w:rPr>
          <w:rFonts w:ascii="Calibri" w:hAnsi="Calibri"/>
          <w:b w:val="0"/>
          <w:i w:val="0"/>
          <w:color w:val="44556A"/>
          <w:sz w:val="22"/>
        </w:rPr>
        <w:t xml:space="preserve"> retention comp, which means Maya's four years of vesting bought her a new vesting schedule.</w:t>
      </w:r>
    </w:p>
    <w:p>
      <w:pPr>
        <w:spacing w:before="0" w:after="140" w:lineRule="auto" w:line="276"/>
        <w:jc w:val="left"/>
      </w:pPr>
      <w:r>
        <w:rPr>
          <w:rFonts w:ascii="Calibri" w:hAnsi="Calibri"/>
          <w:b/>
          <w:i w:val="0"/>
          <w:color w:val="44556A"/>
          <w:sz w:val="22"/>
        </w:rPr>
        <w:t>3. Options are a lottery ticket; RSUs are a discounted bond. Price them that way.</w:t>
      </w:r>
      <w:r>
        <w:rPr>
          <w:rFonts w:ascii="Calibri" w:hAnsi="Calibri"/>
          <w:b w:val="0"/>
          <w:i w:val="0"/>
          <w:color w:val="44556A"/>
          <w:sz w:val="22"/>
        </w:rPr>
        <w:t xml:space="preserve"> Notice the columns converge only in the 10× scenario. In every modest outcome, RSUs dominate. Options make sense when granted in much larger quantities (they usually are — if you're offered options 1-for-1 against an RSU alternative, that's a bad trade) or when you genuinely believe in the 10× case </w:t>
      </w:r>
      <w:r>
        <w:rPr>
          <w:rFonts w:ascii="Calibri" w:hAnsi="Calibri"/>
          <w:b w:val="0"/>
          <w:i/>
          <w:color w:val="44556A"/>
          <w:sz w:val="22"/>
        </w:rPr>
        <w:t>and can afford the zero case</w:t>
      </w:r>
      <w:r>
        <w:rPr>
          <w:rFonts w:ascii="Calibri" w:hAnsi="Calibri"/>
          <w:b w:val="0"/>
          <w:i w:val="0"/>
          <w:color w:val="44556A"/>
          <w:sz w:val="22"/>
        </w:rPr>
        <w:t>.</w:t>
      </w:r>
    </w:p>
    <w:p>
      <w:pPr>
        <w:spacing w:before="0" w:after="140" w:lineRule="auto" w:line="276"/>
        <w:jc w:val="left"/>
      </w:pPr>
      <w:r>
        <w:rPr>
          <w:rFonts w:ascii="Calibri" w:hAnsi="Calibri"/>
          <w:b/>
          <w:i w:val="0"/>
          <w:color w:val="44556A"/>
          <w:sz w:val="22"/>
        </w:rPr>
        <w:t>4. IPO is not a payday; it's a currency conversion with a six-month lock.</w:t>
      </w:r>
      <w:r>
        <w:rPr>
          <w:rFonts w:ascii="Calibri" w:hAnsi="Calibri"/>
          <w:b w:val="0"/>
          <w:i w:val="0"/>
          <w:color w:val="44556A"/>
          <w:sz w:val="22"/>
        </w:rPr>
        <w:t xml:space="preserve"> Maya can't sell at pricing. Post-lockup prices routinely sit 30–50% off the IPO pop. Value IPO scenarios at a haircut, not at the banner number.</w:t>
      </w:r>
    </w:p>
    <w:p>
      <w:pPr>
        <w:spacing w:before="0" w:after="140" w:lineRule="auto" w:line="276"/>
        <w:jc w:val="left"/>
      </w:pPr>
      <w:r>
        <w:rPr>
          <w:rFonts w:ascii="Calibri" w:hAnsi="Calibri"/>
          <w:b/>
          <w:i w:val="0"/>
          <w:color w:val="44556A"/>
          <w:sz w:val="22"/>
        </w:rPr>
        <w:t>5. The three questions that make this table computable for *your* offer:</w:t>
      </w:r>
      <w:r>
        <w:rPr>
          <w:rFonts w:ascii="Calibri" w:hAnsi="Calibri"/>
          <w:b w:val="0"/>
          <w:i w:val="0"/>
          <w:color w:val="44556A"/>
          <w:sz w:val="22"/>
        </w:rPr>
        <w:t xml:space="preserve"> What's the fully diluted share count? What's the total liquidation preference, and is any of it participating? What was the last 409A and the last preferred price? A company that answers readily is treating you like the shareholder you're about to become. A company that stalls has answered a different question.</w:t>
      </w:r>
    </w:p>
    <w:p>
      <w:pPr>
        <w:spacing w:before="0" w:after="140" w:lineRule="auto" w:line="276"/>
        <w:jc w:val="left"/>
      </w:pPr>
      <w:r>
        <w:rPr>
          <w:rFonts w:ascii="Calibri" w:hAnsi="Calibri"/>
          <w:b w:val="0"/>
          <w:i w:val="0"/>
          <w:color w:val="44556A"/>
          <w:sz w:val="22"/>
        </w:rPr>
        <w:t>Run your own version of this table before you sign anything. It's thirty minutes. Maya's thirty minutes were worth somewhere between zero and $2.4M — which is precisely the point.</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Section 2: Bonus Architecture — What "Up to 40%" Actually Pays</w:t>
      </w:r>
    </w:p>
    <w:p>
      <w:pPr>
        <w:spacing w:before="0" w:after="140" w:lineRule="auto" w:line="276"/>
        <w:jc w:val="left"/>
      </w:pPr>
      <w:r>
        <w:rPr>
          <w:rFonts w:ascii="Calibri" w:hAnsi="Calibri"/>
          <w:b w:val="0"/>
          <w:i w:val="0"/>
          <w:color w:val="44556A"/>
          <w:sz w:val="22"/>
        </w:rPr>
        <w:t>"Target bonus: up to 40% of base." At $350K base, your brain hears $140K. Your brain has just been recruited.</w:t>
      </w:r>
    </w:p>
    <w:p>
      <w:pPr>
        <w:spacing w:before="0" w:after="140" w:lineRule="auto" w:line="276"/>
        <w:jc w:val="left"/>
      </w:pPr>
      <w:r>
        <w:rPr>
          <w:rFonts w:ascii="Calibri" w:hAnsi="Calibri"/>
          <w:b w:val="0"/>
          <w:i w:val="0"/>
          <w:color w:val="44556A"/>
          <w:sz w:val="22"/>
        </w:rPr>
        <w:t xml:space="preserve">Here's the machinery behind that sentence. Executive bonuses are almost always a formula: </w:t>
      </w:r>
      <w:r>
        <w:rPr>
          <w:rFonts w:ascii="Calibri" w:hAnsi="Calibri"/>
          <w:b/>
          <w:i w:val="0"/>
          <w:color w:val="44556A"/>
          <w:sz w:val="22"/>
        </w:rPr>
        <w:t>(base × target %) × company multiplier × individual multiplier.</w:t>
      </w:r>
      <w:r>
        <w:rPr>
          <w:rFonts w:ascii="Calibri" w:hAnsi="Calibri"/>
          <w:b w:val="0"/>
          <w:i w:val="0"/>
          <w:color w:val="44556A"/>
          <w:sz w:val="22"/>
        </w:rPr>
        <w:t xml:space="preserve"> The target percent is the only part in your offer letter. The multipliers — set by board-approved company performance and your own rating — are where the real number lives, and they compound </w:t>
      </w:r>
      <w:r>
        <w:rPr>
          <w:rFonts w:ascii="Calibri" w:hAnsi="Calibri"/>
          <w:b w:val="0"/>
          <w:i/>
          <w:color w:val="44556A"/>
          <w:sz w:val="22"/>
        </w:rPr>
        <w:t>against</w:t>
      </w:r>
      <w:r>
        <w:rPr>
          <w:rFonts w:ascii="Calibri" w:hAnsi="Calibri"/>
          <w:b w:val="0"/>
          <w:i w:val="0"/>
          <w:color w:val="44556A"/>
          <w:sz w:val="22"/>
        </w:rPr>
        <w:t xml:space="preserve"> you more often than for you.</w:t>
      </w:r>
    </w:p>
    <w:p>
      <w:pPr>
        <w:spacing w:before="0" w:after="140" w:lineRule="auto" w:line="276"/>
        <w:jc w:val="left"/>
      </w:pPr>
      <w:r>
        <w:rPr>
          <w:rFonts w:ascii="Calibri" w:hAnsi="Calibri"/>
          <w:b w:val="0"/>
          <w:i w:val="0"/>
          <w:color w:val="44556A"/>
          <w:sz w:val="22"/>
        </w:rPr>
        <w:t xml:space="preserve">Do the honest math. Company hits 85% of a stretch plan (stretch plans exist to be missed — that's what makes them stretch), so the pool funds at 80%. Your individual multiplier comes in at 95% because ratings above 100% are rationed like water in a drought. Your "40% bonus" pays 40% × 0.80 × 0.95 = </w:t>
      </w:r>
      <w:r>
        <w:rPr>
          <w:rFonts w:ascii="Calibri" w:hAnsi="Calibri"/>
          <w:b/>
          <w:i w:val="0"/>
          <w:color w:val="44556A"/>
          <w:sz w:val="22"/>
        </w:rPr>
        <w:t>30.4%</w:t>
      </w:r>
      <w:r>
        <w:rPr>
          <w:rFonts w:ascii="Calibri" w:hAnsi="Calibri"/>
          <w:b w:val="0"/>
          <w:i w:val="0"/>
          <w:color w:val="44556A"/>
          <w:sz w:val="22"/>
        </w:rPr>
        <w:t>. On $350K, that's $106K against the $140K your brain banked. A $34K annual gap — $136K over a four-year stint — hiding inside a sentence that was never false.</w:t>
      </w:r>
    </w:p>
    <w:p>
      <w:pPr>
        <w:spacing w:before="0" w:after="140" w:lineRule="auto" w:line="276"/>
        <w:jc w:val="left"/>
      </w:pPr>
      <w:r>
        <w:rPr>
          <w:rFonts w:ascii="Calibri" w:hAnsi="Calibri"/>
          <w:b w:val="0"/>
          <w:i w:val="0"/>
          <w:color w:val="44556A"/>
          <w:sz w:val="22"/>
        </w:rPr>
        <w:t>Three structural traps worth knowing by name:</w:t>
      </w:r>
    </w:p>
    <w:p>
      <w:pPr>
        <w:spacing w:before="0" w:after="140" w:lineRule="auto" w:line="276"/>
        <w:jc w:val="left"/>
      </w:pPr>
      <w:r>
        <w:rPr>
          <w:rFonts w:ascii="Calibri" w:hAnsi="Calibri"/>
          <w:b/>
          <w:i w:val="0"/>
          <w:color w:val="44556A"/>
          <w:sz w:val="22"/>
        </w:rPr>
        <w:t>The "up to" tell.</w:t>
      </w:r>
      <w:r>
        <w:rPr>
          <w:rFonts w:ascii="Calibri" w:hAnsi="Calibri"/>
          <w:b w:val="0"/>
          <w:i w:val="0"/>
          <w:color w:val="44556A"/>
          <w:sz w:val="22"/>
        </w:rPr>
        <w:t xml:space="preserve"> "Target 40%" and "up to 40%" are different sentences. "Up to" often means 40% is the </w:t>
      </w:r>
      <w:r>
        <w:rPr>
          <w:rFonts w:ascii="Calibri" w:hAnsi="Calibri"/>
          <w:b w:val="0"/>
          <w:i/>
          <w:color w:val="44556A"/>
          <w:sz w:val="22"/>
        </w:rPr>
        <w:t>cap</w:t>
      </w:r>
      <w:r>
        <w:rPr>
          <w:rFonts w:ascii="Calibri" w:hAnsi="Calibri"/>
          <w:b w:val="0"/>
          <w:i w:val="0"/>
          <w:color w:val="44556A"/>
          <w:sz w:val="22"/>
        </w:rPr>
        <w:t>, not the midpoint — the plan's real expected value might be 25%. Ask which word governs, and ask to see the payout curve: what does 90% plan attainment pay? 110%? A plan that pays 50% of bonus at 90% attainment is a very different asset from one that pays 90%.</w:t>
      </w:r>
    </w:p>
    <w:p>
      <w:pPr>
        <w:spacing w:before="0" w:after="140" w:lineRule="auto" w:line="276"/>
        <w:jc w:val="left"/>
      </w:pPr>
      <w:r>
        <w:rPr>
          <w:rFonts w:ascii="Calibri" w:hAnsi="Calibri"/>
          <w:b/>
          <w:i w:val="0"/>
          <w:color w:val="44556A"/>
          <w:sz w:val="22"/>
        </w:rPr>
        <w:t>The discretion clause.</w:t>
      </w:r>
      <w:r>
        <w:rPr>
          <w:rFonts w:ascii="Calibri" w:hAnsi="Calibri"/>
          <w:b w:val="0"/>
          <w:i w:val="0"/>
          <w:color w:val="44556A"/>
          <w:sz w:val="22"/>
        </w:rPr>
        <w:t xml:space="preserve"> Most exec bonus plans include board or CEO discretion to adjust the pool "based on overall business conditions." Translation: in a bad year, the formula is a suggestion. You can't negotiate the clause away, but you can price it in — and you can ask the one question that reveals everything: </w:t>
      </w:r>
      <w:r>
        <w:rPr>
          <w:rFonts w:ascii="Calibri" w:hAnsi="Calibri"/>
          <w:b/>
          <w:i w:val="0"/>
          <w:color w:val="44556A"/>
          <w:sz w:val="22"/>
        </w:rPr>
        <w:t>"What did this plan actually pay, as a percent of target, in each of the last three years?"</w:t>
      </w:r>
      <w:r>
        <w:rPr>
          <w:rFonts w:ascii="Calibri" w:hAnsi="Calibri"/>
          <w:b w:val="0"/>
          <w:i w:val="0"/>
          <w:color w:val="44556A"/>
          <w:sz w:val="22"/>
        </w:rPr>
        <w:t xml:space="preserve"> This is the single highest-value question in bonus diligence. It's factual, it's answerable, and companies with good payout histories volunteer it proudly. Silence is data.</w:t>
      </w:r>
    </w:p>
    <w:p>
      <w:pPr>
        <w:spacing w:before="0" w:after="140" w:lineRule="auto" w:line="276"/>
        <w:jc w:val="left"/>
      </w:pPr>
      <w:r>
        <w:rPr>
          <w:rFonts w:ascii="Calibri" w:hAnsi="Calibri"/>
          <w:b/>
          <w:i w:val="0"/>
          <w:color w:val="44556A"/>
          <w:sz w:val="22"/>
        </w:rPr>
        <w:t>The timing traps.</w:t>
      </w:r>
      <w:r>
        <w:rPr>
          <w:rFonts w:ascii="Calibri" w:hAnsi="Calibri"/>
          <w:b w:val="0"/>
          <w:i w:val="0"/>
          <w:color w:val="44556A"/>
          <w:sz w:val="22"/>
        </w:rPr>
        <w:t xml:space="preserve"> Proration (join in May, year one pays 7/12ths), payment-date employment requirements (bonuses pay in March for the prior year — leave in February and forfeit twelve earned months), and clawbacks. The February forfeit is the sleeper: it quietly dictates the </w:t>
      </w:r>
      <w:r>
        <w:rPr>
          <w:rFonts w:ascii="Calibri" w:hAnsi="Calibri"/>
          <w:b w:val="0"/>
          <w:i/>
          <w:color w:val="44556A"/>
          <w:sz w:val="22"/>
        </w:rPr>
        <w:t>only</w:t>
      </w:r>
      <w:r>
        <w:rPr>
          <w:rFonts w:ascii="Calibri" w:hAnsi="Calibri"/>
          <w:b w:val="0"/>
          <w:i w:val="0"/>
          <w:color w:val="44556A"/>
          <w:sz w:val="22"/>
        </w:rPr>
        <w:t xml:space="preserve"> rational months to change jobs, and companies count on you not noticing until you're negotiating an exit.</w:t>
      </w:r>
    </w:p>
    <w:p>
      <w:pPr>
        <w:spacing w:before="0" w:after="140" w:lineRule="auto" w:line="276"/>
        <w:jc w:val="left"/>
      </w:pPr>
      <w:r>
        <w:rPr>
          <w:rFonts w:ascii="Calibri" w:hAnsi="Calibri"/>
          <w:b w:val="0"/>
          <w:i w:val="0"/>
          <w:color w:val="44556A"/>
          <w:sz w:val="22"/>
        </w:rPr>
        <w:t xml:space="preserve">The fixes are all negotiable at the exec level, and all cheap for the company to grant: a </w:t>
      </w:r>
      <w:r>
        <w:rPr>
          <w:rFonts w:ascii="Calibri" w:hAnsi="Calibri"/>
          <w:b/>
          <w:i w:val="0"/>
          <w:color w:val="44556A"/>
          <w:sz w:val="22"/>
        </w:rPr>
        <w:t>year-one guarantee at target</w:t>
      </w:r>
      <w:r>
        <w:rPr>
          <w:rFonts w:ascii="Calibri" w:hAnsi="Calibri"/>
          <w:b w:val="0"/>
          <w:i w:val="0"/>
          <w:color w:val="44556A"/>
          <w:sz w:val="22"/>
        </w:rPr>
        <w:t xml:space="preserve"> ("I can't influence a plan I didn't build — guarantee year one"), </w:t>
      </w:r>
      <w:r>
        <w:rPr>
          <w:rFonts w:ascii="Calibri" w:hAnsi="Calibri"/>
          <w:b/>
          <w:i w:val="0"/>
          <w:color w:val="44556A"/>
          <w:sz w:val="22"/>
        </w:rPr>
        <w:t>pro-rated bonus payable through your last day worked</w:t>
      </w:r>
      <w:r>
        <w:rPr>
          <w:rFonts w:ascii="Calibri" w:hAnsi="Calibri"/>
          <w:b w:val="0"/>
          <w:i w:val="0"/>
          <w:color w:val="44556A"/>
          <w:sz w:val="22"/>
        </w:rPr>
        <w:t xml:space="preserve"> written into your offer, and the three-year payout history in hand before you compare this offer to any other. When you model competing offers, use </w:t>
      </w:r>
      <w:r>
        <w:rPr>
          <w:rFonts w:ascii="Calibri" w:hAnsi="Calibri"/>
          <w:b w:val="0"/>
          <w:i/>
          <w:color w:val="44556A"/>
          <w:sz w:val="22"/>
        </w:rPr>
        <w:t>historical</w:t>
      </w:r>
      <w:r>
        <w:rPr>
          <w:rFonts w:ascii="Calibri" w:hAnsi="Calibri"/>
          <w:b w:val="0"/>
          <w:i w:val="0"/>
          <w:color w:val="44556A"/>
          <w:sz w:val="22"/>
        </w:rPr>
        <w:t xml:space="preserve"> payout, not target. A 30% bonus that pays 100% beats a 40% bonus that pays 70%, and only one of those facts is in the offer letter.</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Section 3: Benefits You're Leaving on the Table</w:t>
      </w:r>
    </w:p>
    <w:p>
      <w:pPr>
        <w:spacing w:before="0" w:after="140" w:lineRule="auto" w:line="276"/>
        <w:jc w:val="left"/>
      </w:pPr>
      <w:r>
        <w:rPr>
          <w:rFonts w:ascii="Calibri" w:hAnsi="Calibri"/>
          <w:b w:val="0"/>
          <w:i w:val="0"/>
          <w:color w:val="44556A"/>
          <w:sz w:val="22"/>
        </w:rPr>
        <w:t>Somewhere past the equity and bonus sections of the comp discussion, there's a category worth $20K–$80K a year that most executives never open, because nobody hands them the list. Here's the list.</w:t>
      </w:r>
    </w:p>
    <w:p>
      <w:pPr>
        <w:spacing w:before="0" w:after="140" w:lineRule="auto" w:line="276"/>
        <w:jc w:val="left"/>
      </w:pPr>
      <w:r>
        <w:rPr>
          <w:rFonts w:ascii="Calibri" w:hAnsi="Calibri"/>
          <w:b/>
          <w:i w:val="0"/>
          <w:color w:val="44556A"/>
          <w:sz w:val="22"/>
        </w:rPr>
        <w:t>Deferred compensation plans.</w:t>
      </w:r>
      <w:r>
        <w:rPr>
          <w:rFonts w:ascii="Calibri" w:hAnsi="Calibri"/>
          <w:b w:val="0"/>
          <w:i w:val="0"/>
          <w:color w:val="44556A"/>
          <w:sz w:val="22"/>
        </w:rPr>
        <w:t xml:space="preserve"> The single most underused exec benefit in America. Nonqualified deferred comp (NQDC) plans let you defer salary and bonus above 401k limits — often 50%+ of bonus — pushing income into lower-earning years and letting it compound pre-tax. For an exec in a high-tax state planning to retire somewhere cheaper, the swing is six figures over a decade. The catch that makes it a </w:t>
      </w:r>
      <w:r>
        <w:rPr>
          <w:rFonts w:ascii="Calibri" w:hAnsi="Calibri"/>
          <w:b w:val="0"/>
          <w:i/>
          <w:color w:val="44556A"/>
          <w:sz w:val="22"/>
        </w:rPr>
        <w:t>decision</w:t>
      </w:r>
      <w:r>
        <w:rPr>
          <w:rFonts w:ascii="Calibri" w:hAnsi="Calibri"/>
          <w:b w:val="0"/>
          <w:i w:val="0"/>
          <w:color w:val="44556A"/>
          <w:sz w:val="22"/>
        </w:rPr>
        <w:t xml:space="preserve"> rather than a free lunch: deferred comp is an unsecured claim on the company — if the company goes bankrupt, you're a creditor. Defer aggressively at a fortress balance sheet; defer cautiously at a leveraged one. But </w:t>
      </w:r>
      <w:r>
        <w:rPr>
          <w:rFonts w:ascii="Calibri" w:hAnsi="Calibri"/>
          <w:b w:val="0"/>
          <w:i/>
          <w:color w:val="44556A"/>
          <w:sz w:val="22"/>
        </w:rPr>
        <w:t>ask if the plan exists</w:t>
      </w:r>
      <w:r>
        <w:rPr>
          <w:rFonts w:ascii="Calibri" w:hAnsi="Calibri"/>
          <w:b w:val="0"/>
          <w:i w:val="0"/>
          <w:color w:val="44556A"/>
          <w:sz w:val="22"/>
        </w:rPr>
        <w:t>, because HR frequently doesn't mention it until you're already enrolled in everything else.</w:t>
      </w:r>
    </w:p>
    <w:p>
      <w:pPr>
        <w:spacing w:before="0" w:after="140" w:lineRule="auto" w:line="276"/>
        <w:jc w:val="left"/>
      </w:pPr>
      <w:r>
        <w:rPr>
          <w:rFonts w:ascii="Calibri" w:hAnsi="Calibri"/>
          <w:b/>
          <w:i w:val="0"/>
          <w:color w:val="44556A"/>
          <w:sz w:val="22"/>
        </w:rPr>
        <w:t>401k match mechanics — the cliff nobody explains.</w:t>
      </w:r>
      <w:r>
        <w:rPr>
          <w:rFonts w:ascii="Calibri" w:hAnsi="Calibri"/>
          <w:b w:val="0"/>
          <w:i w:val="0"/>
          <w:color w:val="44556A"/>
          <w:sz w:val="22"/>
        </w:rPr>
        <w:t xml:space="preserve"> Two traps. First, </w:t>
      </w:r>
      <w:r>
        <w:rPr>
          <w:rFonts w:ascii="Calibri" w:hAnsi="Calibri"/>
          <w:b/>
          <w:i w:val="0"/>
          <w:color w:val="44556A"/>
          <w:sz w:val="22"/>
        </w:rPr>
        <w:t>vesting cliffs</w:t>
      </w:r>
      <w:r>
        <w:rPr>
          <w:rFonts w:ascii="Calibri" w:hAnsi="Calibri"/>
          <w:b w:val="0"/>
          <w:i w:val="0"/>
          <w:color w:val="44556A"/>
          <w:sz w:val="22"/>
        </w:rPr>
        <w:t xml:space="preserve">: some companies vest matches over 3–4 years, so leaving in year two forfeits real money — check before you time an exit. Second, </w:t>
      </w:r>
      <w:r>
        <w:rPr>
          <w:rFonts w:ascii="Calibri" w:hAnsi="Calibri"/>
          <w:b/>
          <w:i w:val="0"/>
          <w:color w:val="44556A"/>
          <w:sz w:val="22"/>
        </w:rPr>
        <w:t>the front-loading trap</w:t>
      </w:r>
      <w:r>
        <w:rPr>
          <w:rFonts w:ascii="Calibri" w:hAnsi="Calibri"/>
          <w:b w:val="0"/>
          <w:i w:val="0"/>
          <w:color w:val="44556A"/>
          <w:sz w:val="22"/>
        </w:rPr>
        <w:t>: max your 401k by August and, at many plans, you stop getting matched for the months you're not contributing. Plans with a "true-up" fix this at year-end; plans without one just keep the money. One question to your benefits admin — "does our match true-up?" — is worth $3K–$8K a year to a high earner who front-loads.</w:t>
      </w:r>
    </w:p>
    <w:p>
      <w:pPr>
        <w:spacing w:before="0" w:after="140" w:lineRule="auto" w:line="276"/>
        <w:jc w:val="left"/>
      </w:pPr>
      <w:r>
        <w:rPr>
          <w:rFonts w:ascii="Calibri" w:hAnsi="Calibri"/>
          <w:b/>
          <w:i w:val="0"/>
          <w:color w:val="44556A"/>
          <w:sz w:val="22"/>
        </w:rPr>
        <w:t>Sabbaticals.</w:t>
      </w:r>
      <w:r>
        <w:rPr>
          <w:rFonts w:ascii="Calibri" w:hAnsi="Calibri"/>
          <w:b w:val="0"/>
          <w:i w:val="0"/>
          <w:color w:val="44556A"/>
          <w:sz w:val="22"/>
        </w:rPr>
        <w:t xml:space="preserve"> Increasingly real at senior levels — four to eight weeks paid after 5–7 years — and almost never volunteered during recruiting because it's a retention lever, not a selling point. If it exists, it's part of your total comp. If it doesn't, a negotiated version ("eight weeks unpaid guaranteed at year four, role protected") costs the company almost nothing to grant on the way in and is nearly impossible to get later.</w:t>
      </w:r>
    </w:p>
    <w:p>
      <w:pPr>
        <w:spacing w:before="0" w:after="140" w:lineRule="auto" w:line="276"/>
        <w:jc w:val="left"/>
      </w:pPr>
      <w:r>
        <w:rPr>
          <w:rFonts w:ascii="Calibri" w:hAnsi="Calibri"/>
          <w:b/>
          <w:i w:val="0"/>
          <w:color w:val="44556A"/>
          <w:sz w:val="22"/>
        </w:rPr>
        <w:t>The executive physical.</w:t>
      </w:r>
      <w:r>
        <w:rPr>
          <w:rFonts w:ascii="Calibri" w:hAnsi="Calibri"/>
          <w:b w:val="0"/>
          <w:i w:val="0"/>
          <w:color w:val="44556A"/>
          <w:sz w:val="22"/>
        </w:rPr>
        <w:t xml:space="preserve"> A comprehensive one- or two-day diagnostic workup, fully covered, at a top medical center — common at large companies, chronically unused. Utilization at many firms runs under half of eligible executives. This is a multi-thousand-dollar benefit that occasionally saves lives, and the reason people skip it is purely calendar. Book it annually. This is the least financial item on the list and arguably the most valuable.</w:t>
      </w:r>
    </w:p>
    <w:p>
      <w:pPr>
        <w:spacing w:before="0" w:after="140" w:lineRule="auto" w:line="276"/>
        <w:jc w:val="left"/>
      </w:pPr>
      <w:r>
        <w:rPr>
          <w:rFonts w:ascii="Calibri" w:hAnsi="Calibri"/>
          <w:b/>
          <w:i w:val="0"/>
          <w:color w:val="44556A"/>
          <w:sz w:val="22"/>
        </w:rPr>
        <w:t>Legal indemnification and D&amp;O coverage.</w:t>
      </w:r>
      <w:r>
        <w:rPr>
          <w:rFonts w:ascii="Calibri" w:hAnsi="Calibri"/>
          <w:b w:val="0"/>
          <w:i w:val="0"/>
          <w:color w:val="44556A"/>
          <w:sz w:val="22"/>
        </w:rPr>
        <w:t xml:space="preserve"> The moment your signature binds the company — officer title, board seat, subsidiary directorship — you carry personal legal exposure. Two asks, both standard and both skipped: a personal </w:t>
      </w:r>
      <w:r>
        <w:rPr>
          <w:rFonts w:ascii="Calibri" w:hAnsi="Calibri"/>
          <w:b/>
          <w:i w:val="0"/>
          <w:color w:val="44556A"/>
          <w:sz w:val="22"/>
        </w:rPr>
        <w:t>indemnification agreement</w:t>
      </w:r>
      <w:r>
        <w:rPr>
          <w:rFonts w:ascii="Calibri" w:hAnsi="Calibri"/>
          <w:b w:val="0"/>
          <w:i w:val="0"/>
          <w:color w:val="44556A"/>
          <w:sz w:val="22"/>
        </w:rPr>
        <w:t xml:space="preserve"> (not just the bylaws, which can be amended after you're gone) and confirmation of </w:t>
      </w:r>
      <w:r>
        <w:rPr>
          <w:rFonts w:ascii="Calibri" w:hAnsi="Calibri"/>
          <w:b/>
          <w:i w:val="0"/>
          <w:color w:val="44556A"/>
          <w:sz w:val="22"/>
        </w:rPr>
        <w:t>D&amp;O policy limits and tail coverage</w:t>
      </w:r>
      <w:r>
        <w:rPr>
          <w:rFonts w:ascii="Calibri" w:hAnsi="Calibri"/>
          <w:b w:val="0"/>
          <w:i w:val="0"/>
          <w:color w:val="44556A"/>
          <w:sz w:val="22"/>
        </w:rPr>
        <w:t xml:space="preserve"> if the company is sold. Costs you one email. The scenario where it matters is the scenario where nothing else on this list matters at all.</w:t>
      </w:r>
    </w:p>
    <w:p>
      <w:pPr>
        <w:spacing w:before="0" w:after="140" w:lineRule="auto" w:line="276"/>
        <w:jc w:val="left"/>
      </w:pPr>
      <w:r>
        <w:rPr>
          <w:rFonts w:ascii="Calibri" w:hAnsi="Calibri"/>
          <w:b/>
          <w:i w:val="0"/>
          <w:color w:val="44556A"/>
          <w:sz w:val="22"/>
        </w:rPr>
        <w:t>The meta-move:</w:t>
      </w:r>
      <w:r>
        <w:rPr>
          <w:rFonts w:ascii="Calibri" w:hAnsi="Calibri"/>
          <w:b w:val="0"/>
          <w:i w:val="0"/>
          <w:color w:val="44556A"/>
          <w:sz w:val="22"/>
        </w:rPr>
        <w:t xml:space="preserve"> in your first month, get the </w:t>
      </w:r>
      <w:r>
        <w:rPr>
          <w:rFonts w:ascii="Calibri" w:hAnsi="Calibri"/>
          <w:b w:val="0"/>
          <w:i/>
          <w:color w:val="44556A"/>
          <w:sz w:val="22"/>
        </w:rPr>
        <w:t>full</w:t>
      </w:r>
      <w:r>
        <w:rPr>
          <w:rFonts w:ascii="Calibri" w:hAnsi="Calibri"/>
          <w:b w:val="0"/>
          <w:i w:val="0"/>
          <w:color w:val="44556A"/>
          <w:sz w:val="22"/>
        </w:rPr>
        <w:t xml:space="preserve"> benefits summary — the exec supplement, not the all-employee PDF — and read it once with a highlighter. Every item above was in somebody's plan, unread, while they negotiated hard for $10K of base.</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Section 4: The $2.5M Number — Why High Earners Retire Underfunded</w:t>
      </w:r>
    </w:p>
    <w:p>
      <w:pPr>
        <w:spacing w:before="0" w:after="140" w:lineRule="auto" w:line="276"/>
        <w:jc w:val="left"/>
      </w:pPr>
      <w:r>
        <w:rPr>
          <w:rFonts w:ascii="Calibri" w:hAnsi="Calibri"/>
          <w:b w:val="0"/>
          <w:i w:val="0"/>
          <w:color w:val="44556A"/>
          <w:sz w:val="22"/>
        </w:rPr>
        <w:t>Here's the pattern that thirty years of watching executive careers makes impossible to unsee: people who earned $6M, $8M, $12M over a career arriving at 60 with $2.5M or less — objectively fine, and nowhere near what the income should have produced. Not because of catastrophe. Because of four quiet mechanisms, all of which do their damage in your 40s, which is exactly when you have the least attention to spare.</w:t>
      </w:r>
    </w:p>
    <w:p>
      <w:pPr>
        <w:spacing w:before="0" w:after="140" w:lineRule="auto" w:line="276"/>
        <w:jc w:val="left"/>
      </w:pPr>
      <w:r>
        <w:rPr>
          <w:rFonts w:ascii="Calibri" w:hAnsi="Calibri"/>
          <w:b/>
          <w:i w:val="0"/>
          <w:color w:val="44556A"/>
          <w:sz w:val="22"/>
        </w:rPr>
        <w:t>Mechanism 1: Lifestyle that ratchets but never releases.</w:t>
      </w:r>
      <w:r>
        <w:rPr>
          <w:rFonts w:ascii="Calibri" w:hAnsi="Calibri"/>
          <w:b w:val="0"/>
          <w:i w:val="0"/>
          <w:color w:val="44556A"/>
          <w:sz w:val="22"/>
        </w:rPr>
        <w:t xml:space="preserve"> Exec income arrives in lumps — bonuses, vests, sign-ons — and lump income has a signature failure mode: each lump upgrades something permanent. The bonus becomes the bigger house; the vest becomes the second property; the sign-on becomes the private school baseline. Now the </w:t>
      </w:r>
      <w:r>
        <w:rPr>
          <w:rFonts w:ascii="Calibri" w:hAnsi="Calibri"/>
          <w:b w:val="0"/>
          <w:i/>
          <w:color w:val="44556A"/>
          <w:sz w:val="22"/>
        </w:rPr>
        <w:t>fixed cost structure</w:t>
      </w:r>
      <w:r>
        <w:rPr>
          <w:rFonts w:ascii="Calibri" w:hAnsi="Calibri"/>
          <w:b w:val="0"/>
          <w:i w:val="0"/>
          <w:color w:val="44556A"/>
          <w:sz w:val="22"/>
        </w:rPr>
        <w:t xml:space="preserve"> of your life assumes every future lump arrives on schedule. But exec income is the most volatile high income there is — job changes, missed bonus years, underwater equity, and the gap years between roles that nobody plans for. The executives who land well run their households like they run their P&amp;Ls: fixed costs against </w:t>
      </w:r>
      <w:r>
        <w:rPr>
          <w:rFonts w:ascii="Calibri" w:hAnsi="Calibri"/>
          <w:b w:val="0"/>
          <w:i/>
          <w:color w:val="44556A"/>
          <w:sz w:val="22"/>
        </w:rPr>
        <w:t>base salary only</w:t>
      </w:r>
      <w:r>
        <w:rPr>
          <w:rFonts w:ascii="Calibri" w:hAnsi="Calibri"/>
          <w:b w:val="0"/>
          <w:i w:val="0"/>
          <w:color w:val="44556A"/>
          <w:sz w:val="22"/>
        </w:rPr>
        <w:t xml:space="preserve">, every lump treated as capital, not cash flow. The ones who don't spend their 50s unable to leave jobs they hate because the cost structure won't allow a gap quarter. That's the real price — not the retirement number, the </w:t>
      </w:r>
      <w:r>
        <w:rPr>
          <w:rFonts w:ascii="Calibri" w:hAnsi="Calibri"/>
          <w:b w:val="0"/>
          <w:i/>
          <w:color w:val="44556A"/>
          <w:sz w:val="22"/>
        </w:rPr>
        <w:t>optionality</w:t>
      </w:r>
      <w:r>
        <w:rPr>
          <w:rFonts w:ascii="Calibri" w:hAnsi="Calibri"/>
          <w:b w:val="0"/>
          <w:i w:val="0"/>
          <w:color w:val="44556A"/>
          <w:sz w:val="22"/>
        </w:rPr>
        <w:t>.</w:t>
      </w:r>
    </w:p>
    <w:p>
      <w:pPr>
        <w:spacing w:before="0" w:after="140" w:lineRule="auto" w:line="276"/>
        <w:jc w:val="left"/>
      </w:pPr>
      <w:r>
        <w:rPr>
          <w:rFonts w:ascii="Calibri" w:hAnsi="Calibri"/>
          <w:b/>
          <w:i w:val="0"/>
          <w:color w:val="44556A"/>
          <w:sz w:val="22"/>
        </w:rPr>
        <w:t>Mechanism 2: Concentration by default.</w:t>
      </w:r>
      <w:r>
        <w:rPr>
          <w:rFonts w:ascii="Calibri" w:hAnsi="Calibri"/>
          <w:b w:val="0"/>
          <w:i w:val="0"/>
          <w:color w:val="44556A"/>
          <w:sz w:val="22"/>
        </w:rPr>
        <w:t xml:space="preserve"> Vest, hold, repeat. Ten years in, 60% of net worth sits in one employer's stock — the same employer that already controls your salary, bonus, and career. When the company stumbles, everything correlates at once: the stock drops </w:t>
      </w:r>
      <w:r>
        <w:rPr>
          <w:rFonts w:ascii="Calibri" w:hAnsi="Calibri"/>
          <w:b w:val="0"/>
          <w:i/>
          <w:color w:val="44556A"/>
          <w:sz w:val="22"/>
        </w:rPr>
        <w:t>and</w:t>
      </w:r>
      <w:r>
        <w:rPr>
          <w:rFonts w:ascii="Calibri" w:hAnsi="Calibri"/>
          <w:b w:val="0"/>
          <w:i w:val="0"/>
          <w:color w:val="44556A"/>
          <w:sz w:val="22"/>
        </w:rPr>
        <w:t xml:space="preserve"> the bonus misses </w:t>
      </w:r>
      <w:r>
        <w:rPr>
          <w:rFonts w:ascii="Calibri" w:hAnsi="Calibri"/>
          <w:b w:val="0"/>
          <w:i/>
          <w:color w:val="44556A"/>
          <w:sz w:val="22"/>
        </w:rPr>
        <w:t>and</w:t>
      </w:r>
      <w:r>
        <w:rPr>
          <w:rFonts w:ascii="Calibri" w:hAnsi="Calibri"/>
          <w:b w:val="0"/>
          <w:i w:val="0"/>
          <w:color w:val="44556A"/>
          <w:sz w:val="22"/>
        </w:rPr>
        <w:t xml:space="preserve"> the job market for your specialty cools, in the same eighteen months. Every executive knows this intellectually; holding feels like loyalty and selling feels like a statement. So decide the policy </w:t>
      </w:r>
      <w:r>
        <w:rPr>
          <w:rFonts w:ascii="Calibri" w:hAnsi="Calibri"/>
          <w:b w:val="0"/>
          <w:i/>
          <w:color w:val="44556A"/>
          <w:sz w:val="22"/>
        </w:rPr>
        <w:t>once</w:t>
      </w:r>
      <w:r>
        <w:rPr>
          <w:rFonts w:ascii="Calibri" w:hAnsi="Calibri"/>
          <w:b w:val="0"/>
          <w:i w:val="0"/>
          <w:color w:val="44556A"/>
          <w:sz w:val="22"/>
        </w:rPr>
        <w:t>, in writing, on a calm day — "I sell down to X% of net worth on a schedule, regardless of my feelings about the stock" — and then never relitigate it vest by vest. (If you're an officer with trading windows, this is exactly what 10b5-1 plans are for.) The executives who did this in their 40s are the ones for whom one bad employer chapter was a chapter, not the story.</w:t>
      </w:r>
    </w:p>
    <w:p>
      <w:pPr>
        <w:spacing w:before="0" w:after="140" w:lineRule="auto" w:line="276"/>
        <w:jc w:val="left"/>
      </w:pPr>
      <w:r>
        <w:rPr>
          <w:rFonts w:ascii="Calibri" w:hAnsi="Calibri"/>
          <w:b/>
          <w:i w:val="0"/>
          <w:color w:val="44556A"/>
          <w:sz w:val="22"/>
        </w:rPr>
        <w:t>Mechanism 3: The unmanaged middle.</w:t>
      </w:r>
      <w:r>
        <w:rPr>
          <w:rFonts w:ascii="Calibri" w:hAnsi="Calibri"/>
          <w:b w:val="0"/>
          <w:i w:val="0"/>
          <w:color w:val="44556A"/>
          <w:sz w:val="22"/>
        </w:rPr>
        <w:t xml:space="preserve"> High earners fall into a coverage gap: too complex for generic advice, not liquid enough (yet) for the family-office treatment, and too busy for either. Result: a decade of deferred-comp elections made by default, exercise windows handled at the deadline, no coordinated tax strategy across the highest-earning years they'll ever have. The fix is boring and decisive — by your mid-40s, one flat-fee fiduciary advisor who has </w:t>
      </w:r>
      <w:r>
        <w:rPr>
          <w:rFonts w:ascii="Calibri" w:hAnsi="Calibri"/>
          <w:b w:val="0"/>
          <w:i/>
          <w:color w:val="44556A"/>
          <w:sz w:val="22"/>
        </w:rPr>
        <w:t>specific experience with equity comp</w:t>
      </w:r>
      <w:r>
        <w:rPr>
          <w:rFonts w:ascii="Calibri" w:hAnsi="Calibri"/>
          <w:b w:val="0"/>
          <w:i w:val="0"/>
          <w:color w:val="44556A"/>
          <w:sz w:val="22"/>
        </w:rPr>
        <w:t>, doing an annual coordinated review of deferral elections, vesting, concentration, and tax location. Not someone selling products. Someone paid to think about the machinery in Sections 1–3 so it runs while you run the business. (And to be clear about what this guide is: education, not personalized advice — the entire point of this mechanism is that your specifics deserve a professional who knows them.)</w:t>
      </w:r>
    </w:p>
    <w:p>
      <w:pPr>
        <w:spacing w:before="0" w:after="140" w:lineRule="auto" w:line="276"/>
        <w:jc w:val="left"/>
      </w:pPr>
      <w:r>
        <w:rPr>
          <w:rFonts w:ascii="Calibri" w:hAnsi="Calibri"/>
          <w:b/>
          <w:i w:val="0"/>
          <w:color w:val="44556A"/>
          <w:sz w:val="22"/>
        </w:rPr>
        <w:t>Mechanism 4: Counting the letter, not the landing.</w:t>
      </w:r>
      <w:r>
        <w:rPr>
          <w:rFonts w:ascii="Calibri" w:hAnsi="Calibri"/>
          <w:b w:val="0"/>
          <w:i w:val="0"/>
          <w:color w:val="44556A"/>
          <w:sz w:val="22"/>
        </w:rPr>
        <w:t xml:space="preserve"> The thread from every section of this guide, arriving at its destination. The exec who mentally banks target bonus, grant-value equity, and headline base is planning a retirement on numbers that were never real. Rerun your own math the way this guide prices an offer — historical bonus payout, equity after preferences at </w:t>
      </w:r>
      <w:r>
        <w:rPr>
          <w:rFonts w:ascii="Calibri" w:hAnsi="Calibri"/>
          <w:b w:val="0"/>
          <w:i/>
          <w:color w:val="44556A"/>
          <w:sz w:val="22"/>
        </w:rPr>
        <w:t>base-case</w:t>
      </w:r>
      <w:r>
        <w:rPr>
          <w:rFonts w:ascii="Calibri" w:hAnsi="Calibri"/>
          <w:b w:val="0"/>
          <w:i w:val="0"/>
          <w:color w:val="44556A"/>
          <w:sz w:val="22"/>
        </w:rPr>
        <w:t xml:space="preserve"> exits not pitch-deck exits, base as the only load-bearing income — and your true savings rate is probably 25–35% lower than the version in your head. Better to meet that fact at 45 than at 60.</w:t>
      </w:r>
    </w:p>
    <w:p>
      <w:pPr>
        <w:spacing w:before="0" w:after="140" w:lineRule="auto" w:line="276"/>
        <w:jc w:val="left"/>
      </w:pPr>
      <w:r>
        <w:rPr>
          <w:rFonts w:ascii="Calibri" w:hAnsi="Calibri"/>
          <w:b w:val="0"/>
          <w:i w:val="0"/>
          <w:color w:val="44556A"/>
          <w:sz w:val="22"/>
        </w:rPr>
        <w:t xml:space="preserve">The prescription fits on an index card: </w:t>
      </w:r>
      <w:r>
        <w:rPr>
          <w:rFonts w:ascii="Calibri" w:hAnsi="Calibri"/>
          <w:b/>
          <w:i w:val="0"/>
          <w:color w:val="44556A"/>
          <w:sz w:val="22"/>
        </w:rPr>
        <w:t>fixed costs on base only; a written sell-down policy for equity; one real advisor by 45; plan on landed dollars, not letter dollars.</w:t>
      </w:r>
      <w:r>
        <w:rPr>
          <w:rFonts w:ascii="Calibri" w:hAnsi="Calibri"/>
          <w:b w:val="0"/>
          <w:i w:val="0"/>
          <w:color w:val="44556A"/>
          <w:sz w:val="22"/>
        </w:rPr>
        <w:t xml:space="preserve"> None of it is sophisticated. All of it is rare — because it has to be done in your 40s, in the exact years the career is loudest.</w:t>
      </w:r>
    </w:p>
    <w:p>
      <w:pPr>
        <w:spacing w:before="0" w:after="140" w:lineRule="auto" w:line="276"/>
        <w:jc w:val="left"/>
      </w:pPr>
      <w:r>
        <w:rPr>
          <w:rFonts w:ascii="Calibri" w:hAnsi="Calibri"/>
          <w:b w:val="0"/>
          <w:i w:val="0"/>
          <w:color w:val="44556A"/>
          <w:sz w:val="22"/>
        </w:rPr>
        <w:t>The executives who retire with what their income should have produced aren't the best negotiators or the luckiest equity holders. They're the ones who understood, twenty years early, that the offer letter was never the compensation package.</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Keep Going</w:t>
      </w:r>
    </w:p>
    <w:p>
      <w:pPr>
        <w:spacing w:before="0" w:after="140" w:lineRule="auto" w:line="276"/>
        <w:jc w:val="left"/>
      </w:pPr>
      <w:r>
        <w:rPr>
          <w:rFonts w:ascii="Calibri" w:hAnsi="Calibri"/>
          <w:b/>
          <w:i w:val="0"/>
          <w:color w:val="44556A"/>
          <w:sz w:val="22"/>
        </w:rPr>
        <w:t>→ [Boss Playbook Salary Intelligence](https://salary-site-49i.pages.dev)</w:t>
      </w:r>
      <w:r>
        <w:rPr>
          <w:rFonts w:ascii="Calibri" w:hAnsi="Calibri"/>
          <w:b w:val="0"/>
          <w:i w:val="0"/>
          <w:color w:val="44556A"/>
          <w:sz w:val="22"/>
        </w:rPr>
        <w:t xml:space="preserve"> — executive comp data by title and city. Know your band before the next conversation.</w:t>
      </w:r>
    </w:p>
    <w:p>
      <w:pPr>
        <w:spacing w:before="0" w:after="140" w:lineRule="auto" w:line="276"/>
        <w:jc w:val="left"/>
      </w:pPr>
      <w:r>
        <w:rPr>
          <w:rFonts w:ascii="Calibri" w:hAnsi="Calibri"/>
          <w:b/>
          <w:i w:val="0"/>
          <w:color w:val="44556A"/>
          <w:sz w:val="22"/>
        </w:rPr>
        <w:t>→ Subscribe to the Boss Playbook newsletter</w:t>
      </w:r>
      <w:r>
        <w:rPr>
          <w:rFonts w:ascii="Calibri" w:hAnsi="Calibri"/>
          <w:b w:val="0"/>
          <w:i w:val="0"/>
          <w:color w:val="44556A"/>
          <w:sz w:val="22"/>
        </w:rPr>
        <w:t xml:space="preserve"> — weekly, for GMs, VPs, and senior tech executives. Data, directness, and the things nobody says out loud in boardrooms.</w:t>
      </w:r>
    </w:p>
    <w:p>
      <w:pPr>
        <w:spacing w:before="0" w:after="140" w:lineRule="auto" w:line="276"/>
        <w:jc w:val="left"/>
      </w:pPr>
      <w:r>
        <w:rPr>
          <w:rFonts w:ascii="Calibri" w:hAnsi="Calibri"/>
          <w:b w:val="0"/>
          <w:i/>
          <w:color w:val="44556A"/>
          <w:sz w:val="22"/>
        </w:rPr>
        <w:t>Boss Playbook guides are educational content from an operator with 30 years in the room — not individualized financial, tax, or legal advice. For decisions with your name on them, bring in the professionals in Section 4.</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4" w:color="0068B5"/>
      </w:pBdr>
    </w:pPr>
    <w:r>
      <w:rPr>
        <w:rFonts w:ascii="Calibri" w:hAnsi="Calibri"/>
        <w:color w:val="44556A"/>
        <w:sz w:val="16"/>
      </w:rPr>
      <w:t xml:space="preserve">Boss Playbook | bossplaybook.com | Confidential — For Personal Use Only   |   Page </w:t>
    </w:r>
    <w:r>
      <w:rPr>
        <w:rFonts w:ascii="Calibri"/>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44556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