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pPr>
    </w:p>
    <w:p>
      <w:pPr>
        <w:spacing w:before="0" w:after="0"/>
      </w:pPr>
    </w:p>
    <w:p>
      <w:pPr>
        <w:spacing w:before="0" w:after="0"/>
      </w:pPr>
    </w:p>
    <w:p>
      <w:pPr>
        <w:spacing w:before="0" w:after="0"/>
      </w:pPr>
    </w:p>
    <w:p>
      <w:pPr>
        <w:spacing w:before="0" w:after="0"/>
      </w:pPr>
    </w:p>
    <w:p>
      <w:pPr>
        <w:spacing w:before="0" w:after="0"/>
      </w:pPr>
    </w:p>
    <w:p>
      <w:pPr>
        <w:spacing w:before="0" w:after="240"/>
        <w:jc w:val="center"/>
      </w:pPr>
      <w:r>
        <w:rPr>
          <w:rFonts w:ascii="Calibri" w:hAnsi="Calibri"/>
          <w:b/>
          <w:color w:val="0A1931"/>
          <w:sz w:val="56"/>
        </w:rPr>
        <w:t>The GM's 90-Day Ramp</w:t>
      </w:r>
    </w:p>
    <w:p>
      <w:pPr>
        <w:spacing w:before="80" w:after="160"/>
        <w:jc w:val="center"/>
      </w:pPr>
      <w:r>
        <w:rPr>
          <w:rFonts w:ascii="Calibri" w:hAnsi="Calibri"/>
          <w:i/>
          <w:color w:val="0068B5"/>
          <w:sz w:val="28"/>
        </w:rPr>
        <w:t>Boss Playbook — For Senior Executives</w:t>
      </w:r>
    </w:p>
    <w:p>
      <w:pPr>
        <w:spacing w:before="80" w:after="480"/>
        <w:jc w:val="center"/>
      </w:pPr>
      <w:r>
        <w:rPr>
          <w:rFonts w:ascii="Calibri" w:hAnsi="Calibri"/>
          <w:color w:val="44556A"/>
          <w:sz w:val="24"/>
        </w:rPr>
        <w:t>By Jen | bossplaybook.com</w:t>
      </w:r>
    </w:p>
    <w:p>
      <w:pPr>
        <w:spacing w:before="0" w:after="0"/>
        <w:jc w:val="center"/>
      </w:pPr>
      <w:r>
        <w:rPr>
          <w:rFonts w:ascii="Calibri" w:hAnsi="Calibri"/>
          <w:color w:val="0068B5"/>
          <w:sz w:val="24"/>
        </w:rPr>
        <w:t>────────────────────────────────────────────────────────────</w:t>
      </w:r>
    </w:p>
    <w:p>
      <w:pPr>
        <w:spacing w:after="0"/>
      </w:pPr>
    </w:p>
    <w:p>
      <w:pPr>
        <w:spacing w:after="0"/>
      </w:pPr>
    </w:p>
    <w:p>
      <w:pPr>
        <w:spacing w:before="200" w:after="60"/>
        <w:jc w:val="left"/>
      </w:pPr>
      <w:r>
        <w:rPr>
          <w:rFonts w:ascii="Calibri" w:hAnsi="Calibri"/>
          <w:b/>
          <w:i/>
          <w:color w:val="0068B5"/>
          <w:sz w:val="22"/>
        </w:rPr>
        <w:t>How to Own the P&amp;L Before Anyone Doubts You</w:t>
      </w:r>
    </w:p>
    <w:p>
      <w:pPr>
        <w:spacing w:before="0" w:after="140" w:lineRule="auto" w:line="276"/>
        <w:jc w:val="left"/>
      </w:pPr>
      <w:r>
        <w:rPr>
          <w:rFonts w:ascii="Calibri" w:hAnsi="Calibri"/>
          <w:b w:val="0"/>
          <w:i/>
          <w:color w:val="44556A"/>
          <w:sz w:val="22"/>
        </w:rPr>
        <w:t>A Boss Playbook Guide for General Managers and P&amp;L owners walking into a new seat.</w:t>
      </w:r>
    </w:p>
    <w:p>
      <w:pPr>
        <w:spacing w:before="160" w:after="160"/>
      </w:pPr>
      <w:r>
        <w:rPr>
          <w:rFonts w:ascii="Calibri" w:hAnsi="Calibri"/>
          <w:color w:val="0068B5"/>
          <w:sz w:val="16"/>
        </w:rPr>
        <w:t>────────────────────────────────────────────────────────────────────────────────</w:t>
      </w:r>
    </w:p>
    <w:p>
      <w:pPr>
        <w:spacing w:before="0" w:after="0"/>
      </w:pPr>
      <w:r>
        <w:br w:type="page"/>
      </w:r>
    </w:p>
    <w:p>
      <w:pPr>
        <w:spacing w:before="360" w:after="120"/>
        <w:jc w:val="left"/>
        <w:pBdr>
          <w:bottom w:val="single" w:sz="4" w:space="2" w:color="0068B5"/>
        </w:pBdr>
      </w:pPr>
      <w:r>
        <w:rPr>
          <w:rFonts w:ascii="Calibri" w:hAnsi="Calibri"/>
          <w:b/>
          <w:color w:val="0068B5"/>
          <w:sz w:val="32"/>
        </w:rPr>
        <w:t>Introduction: The First 90 Days Are Make or Break — And Most GMs Waste Them</w:t>
      </w:r>
    </w:p>
    <w:p>
      <w:pPr>
        <w:spacing w:before="0" w:after="140" w:lineRule="auto" w:line="276"/>
        <w:jc w:val="left"/>
      </w:pPr>
      <w:r>
        <w:rPr>
          <w:rFonts w:ascii="Calibri" w:hAnsi="Calibri"/>
          <w:b w:val="0"/>
          <w:i w:val="0"/>
          <w:color w:val="44556A"/>
          <w:sz w:val="22"/>
        </w:rPr>
        <w:t>There's a clock running from the moment you accept a GM role, and it isn't the one HR tells you about.</w:t>
      </w:r>
    </w:p>
    <w:p>
      <w:pPr>
        <w:spacing w:before="0" w:after="140" w:lineRule="auto" w:line="276"/>
        <w:jc w:val="left"/>
      </w:pPr>
      <w:r>
        <w:rPr>
          <w:rFonts w:ascii="Calibri" w:hAnsi="Calibri"/>
          <w:b w:val="0"/>
          <w:i w:val="0"/>
          <w:color w:val="44556A"/>
          <w:sz w:val="22"/>
        </w:rPr>
        <w:t xml:space="preserve">The official story is that you get a honeymoon: ninety days to "learn the business" before anyone expects results. That story is half true. Nobody expects revenue miracles in your first quarter. What they </w:t>
      </w:r>
      <w:r>
        <w:rPr>
          <w:rFonts w:ascii="Calibri" w:hAnsi="Calibri"/>
          <w:b w:val="0"/>
          <w:i/>
          <w:color w:val="44556A"/>
          <w:sz w:val="22"/>
        </w:rPr>
        <w:t>are</w:t>
      </w:r>
      <w:r>
        <w:rPr>
          <w:rFonts w:ascii="Calibri" w:hAnsi="Calibri"/>
          <w:b w:val="0"/>
          <w:i w:val="0"/>
          <w:color w:val="44556A"/>
          <w:sz w:val="22"/>
        </w:rPr>
        <w:t xml:space="preserve"> doing — your boss, your peers, your directs, the finance partner who's seen four GMs cycle through this seat — is forming a judgment about a different question entirely: </w:t>
      </w:r>
      <w:r>
        <w:rPr>
          <w:rFonts w:ascii="Calibri" w:hAnsi="Calibri"/>
          <w:b/>
          <w:i w:val="0"/>
          <w:color w:val="44556A"/>
          <w:sz w:val="22"/>
        </w:rPr>
        <w:t>is this person going to actually run this business, or preside over it?</w:t>
      </w:r>
    </w:p>
    <w:p>
      <w:pPr>
        <w:spacing w:before="0" w:after="140" w:lineRule="auto" w:line="276"/>
        <w:jc w:val="left"/>
      </w:pPr>
      <w:r>
        <w:rPr>
          <w:rFonts w:ascii="Calibri" w:hAnsi="Calibri"/>
          <w:b w:val="0"/>
          <w:i w:val="0"/>
          <w:color w:val="44556A"/>
          <w:sz w:val="22"/>
        </w:rPr>
        <w:t>That judgment gets formed fast, from small signals. What questions you ask. Which meetings you sit through without comment. Whether you can read the P&amp;L yourself or need it narrated to you. Whether the first thing you change is something real or something cosmetic. By day 90, everyone who matters has decided which kind of GM you are. After that, you're not changing their minds — you're living with them.</w:t>
      </w:r>
    </w:p>
    <w:p>
      <w:pPr>
        <w:spacing w:before="0" w:after="140" w:lineRule="auto" w:line="276"/>
        <w:jc w:val="left"/>
      </w:pPr>
      <w:r>
        <w:rPr>
          <w:rFonts w:ascii="Calibri" w:hAnsi="Calibri"/>
          <w:b w:val="0"/>
          <w:i w:val="0"/>
          <w:color w:val="44556A"/>
          <w:sz w:val="22"/>
        </w:rPr>
        <w:t>Here's how most new GMs waste the window. They split into two failure modes, and both come from anxiety.</w:t>
      </w:r>
    </w:p>
    <w:p>
      <w:pPr>
        <w:spacing w:before="0" w:after="140" w:lineRule="auto" w:line="276"/>
        <w:jc w:val="left"/>
      </w:pPr>
      <w:r>
        <w:rPr>
          <w:rFonts w:ascii="Calibri" w:hAnsi="Calibri"/>
          <w:b/>
          <w:i w:val="0"/>
          <w:color w:val="44556A"/>
          <w:sz w:val="22"/>
        </w:rPr>
        <w:t>The Fast Mover</w:t>
      </w:r>
      <w:r>
        <w:rPr>
          <w:rFonts w:ascii="Calibri" w:hAnsi="Calibri"/>
          <w:b w:val="0"/>
          <w:i w:val="0"/>
          <w:color w:val="44556A"/>
          <w:sz w:val="22"/>
        </w:rPr>
        <w:t xml:space="preserve"> arrives with a playbook from their last company and starts executing it by week two. Reorg announced by day 30, new strategy deck by day 45. It reads as decisive. It's actually a confession — that they've decided what this business needs before learning what this business is. The org notices immediately. The people with the real information stop volunteering it, because why feed someone who's already decided? Six months later the Fast Mover is relitigating decisions made on bad assumptions, and the org's quiet verdict is: </w:t>
      </w:r>
      <w:r>
        <w:rPr>
          <w:rFonts w:ascii="Calibri" w:hAnsi="Calibri"/>
          <w:b w:val="0"/>
          <w:i/>
          <w:color w:val="44556A"/>
          <w:sz w:val="22"/>
        </w:rPr>
        <w:t>doesn't listen.</w:t>
      </w:r>
    </w:p>
    <w:p>
      <w:pPr>
        <w:spacing w:before="0" w:after="140" w:lineRule="auto" w:line="276"/>
        <w:jc w:val="left"/>
      </w:pPr>
      <w:r>
        <w:rPr>
          <w:rFonts w:ascii="Calibri" w:hAnsi="Calibri"/>
          <w:b/>
          <w:i w:val="0"/>
          <w:color w:val="44556A"/>
          <w:sz w:val="22"/>
        </w:rPr>
        <w:t>The Eternal Student</w:t>
      </w:r>
      <w:r>
        <w:rPr>
          <w:rFonts w:ascii="Calibri" w:hAnsi="Calibri"/>
          <w:b w:val="0"/>
          <w:i w:val="0"/>
          <w:color w:val="44556A"/>
          <w:sz w:val="22"/>
        </w:rPr>
        <w:t xml:space="preserve"> does the opposite. Listens to everyone, schedules the full listening tour, nods thoughtfully, changes nothing. Day 90 arrives and the business is running exactly as it was — which means it's running on the previous GM's operating system, with all its known bugs. The org's verdict on this one is worse: </w:t>
      </w:r>
      <w:r>
        <w:rPr>
          <w:rFonts w:ascii="Calibri" w:hAnsi="Calibri"/>
          <w:b w:val="0"/>
          <w:i/>
          <w:color w:val="44556A"/>
          <w:sz w:val="22"/>
        </w:rPr>
        <w:t>nice person, no point.</w:t>
      </w:r>
      <w:r>
        <w:rPr>
          <w:rFonts w:ascii="Calibri" w:hAnsi="Calibri"/>
          <w:b w:val="0"/>
          <w:i w:val="0"/>
          <w:color w:val="44556A"/>
          <w:sz w:val="22"/>
        </w:rPr>
        <w:t xml:space="preserve"> Once a P&amp;L organization concludes you won't make a call, they route around you. Deputies start going to your boss. Finance starts pre-deciding what to show you. You still have the title. You no longer have the seat.</w:t>
      </w:r>
    </w:p>
    <w:p>
      <w:pPr>
        <w:spacing w:before="0" w:after="140" w:lineRule="auto" w:line="276"/>
        <w:jc w:val="left"/>
      </w:pPr>
      <w:r>
        <w:rPr>
          <w:rFonts w:ascii="Calibri" w:hAnsi="Calibri"/>
          <w:b w:val="0"/>
          <w:i w:val="0"/>
          <w:color w:val="44556A"/>
          <w:sz w:val="22"/>
        </w:rPr>
        <w:t xml:space="preserve">The 90-day ramp in this guide threads between those failures. It has three movements: </w:t>
      </w:r>
      <w:r>
        <w:rPr>
          <w:rFonts w:ascii="Calibri" w:hAnsi="Calibri"/>
          <w:b/>
          <w:i w:val="0"/>
          <w:color w:val="44556A"/>
          <w:sz w:val="22"/>
        </w:rPr>
        <w:t>Days 1–30, you build intelligence without showing your hand. Days 31–60, you audit the P&amp;L until you know where the money actually goes — not where the story says it goes. Days 61–90, you make one real move, chosen deliberately, that signals exactly who you are.</w:t>
      </w:r>
    </w:p>
    <w:p>
      <w:pPr>
        <w:spacing w:before="0" w:after="140" w:lineRule="auto" w:line="276"/>
        <w:jc w:val="left"/>
      </w:pPr>
      <w:r>
        <w:rPr>
          <w:rFonts w:ascii="Calibri" w:hAnsi="Calibri"/>
          <w:b w:val="0"/>
          <w:i w:val="0"/>
          <w:color w:val="44556A"/>
          <w:sz w:val="22"/>
        </w:rPr>
        <w:t>One move. Not five. The goal of your first quarter is not to fix the business. It's to earn the standing to fix the business — with the org, with your boss, and with yourself, because until you've done the work in this guide, your opinions about this P&amp;L are just imported opinions.</w:t>
      </w:r>
    </w:p>
    <w:p>
      <w:pPr>
        <w:spacing w:before="0" w:after="140" w:lineRule="auto" w:line="276"/>
        <w:jc w:val="left"/>
      </w:pPr>
      <w:r>
        <w:rPr>
          <w:rFonts w:ascii="Calibri" w:hAnsi="Calibri"/>
          <w:b w:val="0"/>
          <w:i w:val="0"/>
          <w:color w:val="44556A"/>
          <w:sz w:val="22"/>
        </w:rPr>
        <w:t>Ninety days from now, people will have decided who you are. This is how you decide it for them.</w:t>
      </w:r>
    </w:p>
    <w:p>
      <w:pPr>
        <w:spacing w:before="160" w:after="160"/>
      </w:pPr>
      <w:r>
        <w:rPr>
          <w:rFonts w:ascii="Calibri" w:hAnsi="Calibri"/>
          <w:color w:val="0068B5"/>
          <w:sz w:val="16"/>
        </w:rPr>
        <w:t>────────────────────────────────────────────────────────────────────────────────</w:t>
      </w:r>
    </w:p>
    <w:p>
      <w:pPr>
        <w:spacing w:before="0" w:after="0"/>
      </w:pPr>
      <w:r>
        <w:br w:type="page"/>
      </w:r>
    </w:p>
    <w:p>
      <w:pPr>
        <w:spacing w:before="360" w:after="120"/>
        <w:jc w:val="left"/>
        <w:pBdr>
          <w:bottom w:val="single" w:sz="4" w:space="2" w:color="0068B5"/>
        </w:pBdr>
      </w:pPr>
      <w:r>
        <w:rPr>
          <w:rFonts w:ascii="Calibri" w:hAnsi="Calibri"/>
          <w:b/>
          <w:color w:val="0068B5"/>
          <w:sz w:val="32"/>
        </w:rPr>
        <w:t>Days 1–30: Listen Before You Lead — How to Build Intelligence Without Showing Your Hand</w:t>
      </w:r>
    </w:p>
    <w:p>
      <w:pPr>
        <w:spacing w:before="0" w:after="140" w:lineRule="auto" w:line="276"/>
        <w:jc w:val="left"/>
      </w:pPr>
      <w:r>
        <w:rPr>
          <w:rFonts w:ascii="Calibri" w:hAnsi="Calibri"/>
          <w:b w:val="0"/>
          <w:i w:val="0"/>
          <w:color w:val="44556A"/>
          <w:sz w:val="22"/>
        </w:rPr>
        <w:t>The first month has one deliverable, and it isn't a strategy. It's a map — of the business, the money, and the people — accurate enough to bet your tenure on. Everything you do in month one either builds that map or wastes time you don't have.</w:t>
      </w:r>
    </w:p>
    <w:p>
      <w:pPr>
        <w:spacing w:before="0" w:after="140" w:lineRule="auto" w:line="276"/>
        <w:jc w:val="left"/>
      </w:pPr>
      <w:r>
        <w:rPr>
          <w:rFonts w:ascii="Calibri" w:hAnsi="Calibri"/>
          <w:b/>
          <w:i w:val="0"/>
          <w:color w:val="44556A"/>
          <w:sz w:val="22"/>
        </w:rPr>
        <w:t>The posture: curious, specific, and unreadable.</w:t>
      </w:r>
    </w:p>
    <w:p>
      <w:pPr>
        <w:spacing w:before="0" w:after="140" w:lineRule="auto" w:line="276"/>
        <w:jc w:val="left"/>
      </w:pPr>
      <w:r>
        <w:rPr>
          <w:rFonts w:ascii="Calibri" w:hAnsi="Calibri"/>
          <w:b w:val="0"/>
          <w:i w:val="0"/>
          <w:color w:val="44556A"/>
          <w:sz w:val="22"/>
        </w:rPr>
        <w:t xml:space="preserve">"Unreadable" is the part new GMs get wrong. In every early conversation, people are probing you: what does the new GM think of the pricing model, the pet project, the VP everyone complains about? Every reaction you show gets repeated, amplified, and turned into "the new GM's direction" before you have one. A raised eyebrow in week two becomes a reorg rumor by week four. So you develop a discipline: ask sharp questions, show genuine interest, and give away nothing. Not cold — warm and opaque. "Interesting — walk me through how that decision got made" is your best friend for thirty days. You are not hiding that you'll have opinions. You're openly deferring them: </w:t>
      </w:r>
      <w:r>
        <w:rPr>
          <w:rFonts w:ascii="Calibri" w:hAnsi="Calibri"/>
          <w:b w:val="0"/>
          <w:i/>
          <w:color w:val="44556A"/>
          <w:sz w:val="22"/>
        </w:rPr>
        <w:t>"I'll have a point of view soon. Right now I'd be guessing, and you deserve better than my guesses."</w:t>
      </w:r>
      <w:r>
        <w:rPr>
          <w:rFonts w:ascii="Calibri" w:hAnsi="Calibri"/>
          <w:b w:val="0"/>
          <w:i w:val="0"/>
          <w:color w:val="44556A"/>
          <w:sz w:val="22"/>
        </w:rPr>
        <w:t xml:space="preserve"> That line, delivered honestly, buys you the whole month.</w:t>
      </w:r>
    </w:p>
    <w:p>
      <w:pPr>
        <w:spacing w:before="0" w:after="140" w:lineRule="auto" w:line="276"/>
        <w:jc w:val="left"/>
      </w:pPr>
      <w:r>
        <w:rPr>
          <w:rFonts w:ascii="Calibri" w:hAnsi="Calibri"/>
          <w:b/>
          <w:i w:val="0"/>
          <w:color w:val="44556A"/>
          <w:sz w:val="22"/>
        </w:rPr>
        <w:t>The interview circuit — and the questions that actually produce intelligence.</w:t>
      </w:r>
    </w:p>
    <w:p>
      <w:pPr>
        <w:spacing w:before="0" w:after="140" w:lineRule="auto" w:line="276"/>
        <w:jc w:val="left"/>
      </w:pPr>
      <w:r>
        <w:rPr>
          <w:rFonts w:ascii="Calibri" w:hAnsi="Calibri"/>
          <w:b w:val="0"/>
          <w:i w:val="0"/>
          <w:color w:val="44556A"/>
          <w:sz w:val="22"/>
        </w:rPr>
        <w:t xml:space="preserve">Book 45 minutes with every direct report, key skip-levels, your finance partner, sales and product counterparts, two or three long-tenured individual contributors (the org's institutional memory lives here, not in the leadership team), and — this one gets skipped constantly — the two or three customers who account for the most revenue and the last big customer who left. Same core questions to everyone, because the </w:t>
      </w:r>
      <w:r>
        <w:rPr>
          <w:rFonts w:ascii="Calibri" w:hAnsi="Calibri"/>
          <w:b w:val="0"/>
          <w:i/>
          <w:color w:val="44556A"/>
          <w:sz w:val="22"/>
        </w:rPr>
        <w:t>disagreements between answers</w:t>
      </w:r>
      <w:r>
        <w:rPr>
          <w:rFonts w:ascii="Calibri" w:hAnsi="Calibri"/>
          <w:b w:val="0"/>
          <w:i w:val="0"/>
          <w:color w:val="44556A"/>
          <w:sz w:val="22"/>
        </w:rPr>
        <w:t xml:space="preserve"> are the real data:</w:t>
      </w:r>
    </w:p>
    <w:p>
      <w:pPr>
        <w:spacing w:before="20" w:after="60"/>
        <w:ind w:left="576" w:hanging="360"/>
        <w:jc w:val="left"/>
      </w:pPr>
      <w:r>
        <w:rPr>
          <w:rFonts w:ascii="Calibri" w:hAnsi="Calibri"/>
          <w:color w:val="0068B5"/>
          <w:sz w:val="22"/>
        </w:rPr>
        <w:t xml:space="preserve">▸  </w:t>
      </w:r>
      <w:r>
        <w:rPr>
          <w:rFonts w:ascii="Calibri" w:hAnsi="Calibri"/>
          <w:b w:val="0"/>
          <w:i w:val="0"/>
          <w:color w:val="44556A"/>
          <w:sz w:val="22"/>
        </w:rPr>
        <w:t>"What's working here that you're afraid I'll break?" — disarming, and it surfaces the sacred things before you trip on them.</w:t>
      </w:r>
    </w:p>
    <w:p>
      <w:pPr>
        <w:spacing w:before="20" w:after="60"/>
        <w:ind w:left="576" w:hanging="360"/>
        <w:jc w:val="left"/>
      </w:pPr>
      <w:r>
        <w:rPr>
          <w:rFonts w:ascii="Calibri" w:hAnsi="Calibri"/>
          <w:color w:val="0068B5"/>
          <w:sz w:val="22"/>
        </w:rPr>
        <w:t xml:space="preserve">▸  </w:t>
      </w:r>
      <w:r>
        <w:rPr>
          <w:rFonts w:ascii="Calibri" w:hAnsi="Calibri"/>
          <w:b w:val="0"/>
          <w:i w:val="0"/>
          <w:color w:val="44556A"/>
          <w:sz w:val="22"/>
        </w:rPr>
        <w:t>"If you ran this P&amp;L, what's the first thing you'd change?" — everyone has this answer loaded. Let them fire it.</w:t>
      </w:r>
    </w:p>
    <w:p>
      <w:pPr>
        <w:spacing w:before="20" w:after="60"/>
        <w:ind w:left="576" w:hanging="360"/>
        <w:jc w:val="left"/>
      </w:pPr>
      <w:r>
        <w:rPr>
          <w:rFonts w:ascii="Calibri" w:hAnsi="Calibri"/>
          <w:color w:val="0068B5"/>
          <w:sz w:val="22"/>
        </w:rPr>
        <w:t xml:space="preserve">▸  </w:t>
      </w:r>
      <w:r>
        <w:rPr>
          <w:rFonts w:ascii="Calibri" w:hAnsi="Calibri"/>
          <w:b w:val="0"/>
          <w:i w:val="0"/>
          <w:color w:val="44556A"/>
          <w:sz w:val="22"/>
        </w:rPr>
        <w:t xml:space="preserve">"Where does the plan not match reality?" — the polite version of </w:t>
      </w:r>
      <w:r>
        <w:rPr>
          <w:rFonts w:ascii="Calibri" w:hAnsi="Calibri"/>
          <w:b w:val="0"/>
          <w:i/>
          <w:color w:val="44556A"/>
          <w:sz w:val="22"/>
        </w:rPr>
        <w:t>where are we lying to ourselves</w:t>
      </w:r>
      <w:r>
        <w:rPr>
          <w:rFonts w:ascii="Calibri" w:hAnsi="Calibri"/>
          <w:b w:val="0"/>
          <w:i w:val="0"/>
          <w:color w:val="44556A"/>
          <w:sz w:val="22"/>
        </w:rPr>
        <w:t>, and people answer it.</w:t>
      </w:r>
    </w:p>
    <w:p>
      <w:pPr>
        <w:spacing w:before="20" w:after="60"/>
        <w:ind w:left="576" w:hanging="360"/>
        <w:jc w:val="left"/>
      </w:pPr>
      <w:r>
        <w:rPr>
          <w:rFonts w:ascii="Calibri" w:hAnsi="Calibri"/>
          <w:color w:val="0068B5"/>
          <w:sz w:val="22"/>
        </w:rPr>
        <w:t xml:space="preserve">▸  </w:t>
      </w:r>
      <w:r>
        <w:rPr>
          <w:rFonts w:ascii="Calibri" w:hAnsi="Calibri"/>
          <w:b w:val="0"/>
          <w:i w:val="0"/>
          <w:color w:val="44556A"/>
          <w:sz w:val="22"/>
        </w:rPr>
        <w:t>"Who do I need to make this business work that doesn't report to me?" — this builds your dependency map, which matters more than your org chart.</w:t>
      </w:r>
    </w:p>
    <w:p>
      <w:pPr>
        <w:spacing w:before="20" w:after="60"/>
        <w:ind w:left="576" w:hanging="360"/>
        <w:jc w:val="left"/>
      </w:pPr>
      <w:r>
        <w:rPr>
          <w:rFonts w:ascii="Calibri" w:hAnsi="Calibri"/>
          <w:color w:val="0068B5"/>
          <w:sz w:val="22"/>
        </w:rPr>
        <w:t xml:space="preserve">▸  </w:t>
      </w:r>
      <w:r>
        <w:rPr>
          <w:rFonts w:ascii="Calibri" w:hAnsi="Calibri"/>
          <w:b w:val="0"/>
          <w:i w:val="0"/>
          <w:color w:val="44556A"/>
          <w:sz w:val="22"/>
        </w:rPr>
        <w:t>"What happened to the last person in my seat?" — asked lightly. The answers will not match each other. The gaps between the stories are a map of the org's factions.</w:t>
      </w:r>
    </w:p>
    <w:p>
      <w:pPr>
        <w:spacing w:before="0" w:after="140" w:lineRule="auto" w:line="276"/>
        <w:jc w:val="left"/>
      </w:pPr>
      <w:r>
        <w:rPr>
          <w:rFonts w:ascii="Calibri" w:hAnsi="Calibri"/>
          <w:b w:val="0"/>
          <w:i w:val="0"/>
          <w:color w:val="44556A"/>
          <w:sz w:val="22"/>
        </w:rPr>
        <w:t>Take notes visibly. People say more to someone who's clearly recording it as intelligence rather than making conversation.</w:t>
      </w:r>
    </w:p>
    <w:p>
      <w:pPr>
        <w:spacing w:before="0" w:after="140" w:lineRule="auto" w:line="276"/>
        <w:jc w:val="left"/>
      </w:pPr>
      <w:r>
        <w:rPr>
          <w:rFonts w:ascii="Calibri" w:hAnsi="Calibri"/>
          <w:b/>
          <w:i w:val="0"/>
          <w:color w:val="44556A"/>
          <w:sz w:val="22"/>
        </w:rPr>
        <w:t>Triangulate or it didn't happen.</w:t>
      </w:r>
      <w:r>
        <w:rPr>
          <w:rFonts w:ascii="Calibri" w:hAnsi="Calibri"/>
          <w:b w:val="0"/>
          <w:i w:val="0"/>
          <w:color w:val="44556A"/>
          <w:sz w:val="22"/>
        </w:rPr>
        <w:t xml:space="preserve"> One person's claim is an anecdote. The same claim from a direct report, a finance analyst, and a customer is a fact. Keep a running list of "claims heard once" versus "claims confirmed three ways." Month one's real product is moving items from the first list to the second. And notice the claims that </w:t>
      </w:r>
      <w:r>
        <w:rPr>
          <w:rFonts w:ascii="Calibri" w:hAnsi="Calibri"/>
          <w:b w:val="0"/>
          <w:i/>
          <w:color w:val="44556A"/>
          <w:sz w:val="22"/>
        </w:rPr>
        <w:t>everyone</w:t>
      </w:r>
      <w:r>
        <w:rPr>
          <w:rFonts w:ascii="Calibri" w:hAnsi="Calibri"/>
          <w:b w:val="0"/>
          <w:i w:val="0"/>
          <w:color w:val="44556A"/>
          <w:sz w:val="22"/>
        </w:rPr>
        <w:t xml:space="preserve"> makes in identical language — "our churn problem is really an onboarding problem," said the same way by six people — because identical phrasing means it's the house narrative. House narratives are sometimes true. They're always worth auditing, which is what month two is for.</w:t>
      </w:r>
    </w:p>
    <w:p>
      <w:pPr>
        <w:spacing w:before="0" w:after="140" w:lineRule="auto" w:line="276"/>
        <w:jc w:val="left"/>
      </w:pPr>
      <w:r>
        <w:rPr>
          <w:rFonts w:ascii="Calibri" w:hAnsi="Calibri"/>
          <w:b/>
          <w:i w:val="0"/>
          <w:color w:val="44556A"/>
          <w:sz w:val="22"/>
        </w:rPr>
        <w:t>Meanwhile, run the business lightly but visibly.</w:t>
      </w:r>
      <w:r>
        <w:rPr>
          <w:rFonts w:ascii="Calibri" w:hAnsi="Calibri"/>
          <w:b w:val="0"/>
          <w:i w:val="0"/>
          <w:color w:val="44556A"/>
          <w:sz w:val="22"/>
        </w:rPr>
        <w:t xml:space="preserve"> Listening doesn't mean absent. Approve what needs approving, show up prepared, and make small operational calls promptly — deferring </w:t>
      </w:r>
      <w:r>
        <w:rPr>
          <w:rFonts w:ascii="Calibri" w:hAnsi="Calibri"/>
          <w:b w:val="0"/>
          <w:i/>
          <w:color w:val="44556A"/>
          <w:sz w:val="22"/>
        </w:rPr>
        <w:t>strategy</w:t>
      </w:r>
      <w:r>
        <w:rPr>
          <w:rFonts w:ascii="Calibri" w:hAnsi="Calibri"/>
          <w:b w:val="0"/>
          <w:i w:val="0"/>
          <w:color w:val="44556A"/>
          <w:sz w:val="22"/>
        </w:rPr>
        <w:t xml:space="preserve"> is wise, deferring </w:t>
      </w:r>
      <w:r>
        <w:rPr>
          <w:rFonts w:ascii="Calibri" w:hAnsi="Calibri"/>
          <w:b w:val="0"/>
          <w:i/>
          <w:color w:val="44556A"/>
          <w:sz w:val="22"/>
        </w:rPr>
        <w:t>decisions someone's blocked on</w:t>
      </w:r>
      <w:r>
        <w:rPr>
          <w:rFonts w:ascii="Calibri" w:hAnsi="Calibri"/>
          <w:b w:val="0"/>
          <w:i w:val="0"/>
          <w:color w:val="44556A"/>
          <w:sz w:val="22"/>
        </w:rPr>
        <w:t xml:space="preserve"> reads as weakness. The distinction matters: "I won't redesign the pricing model in week three" is judgment. "I can't approve this hire that's been queued for a month" is a stall. Make the second kind of call fast, and the org extends you patience on the first kind.</w:t>
      </w:r>
    </w:p>
    <w:p>
      <w:pPr>
        <w:spacing w:before="0" w:after="140" w:lineRule="auto" w:line="276"/>
        <w:jc w:val="left"/>
      </w:pPr>
      <w:r>
        <w:rPr>
          <w:rFonts w:ascii="Calibri" w:hAnsi="Calibri"/>
          <w:b w:val="0"/>
          <w:i w:val="0"/>
          <w:color w:val="44556A"/>
          <w:sz w:val="22"/>
        </w:rPr>
        <w:t>By day 30 you should be able to draw, from memory: where the revenue actually comes from (not the segment story — the top ten accounts), the three biggest cost blocks and who owns them, the two or three genuine risks nobody's named in an official meeting, and the stakeholder map you'll find later in this guide, filled in with real names. If you can't, extend the listening two weeks. If you can — month two is where you find out how much of what you heard is true.</w:t>
      </w:r>
    </w:p>
    <w:p>
      <w:pPr>
        <w:spacing w:before="160" w:after="160"/>
      </w:pPr>
      <w:r>
        <w:rPr>
          <w:rFonts w:ascii="Calibri" w:hAnsi="Calibri"/>
          <w:color w:val="0068B5"/>
          <w:sz w:val="16"/>
        </w:rPr>
        <w:t>────────────────────────────────────────────────────────────────────────────────</w:t>
      </w:r>
    </w:p>
    <w:p>
      <w:pPr>
        <w:spacing w:before="0" w:after="0"/>
      </w:pPr>
      <w:r>
        <w:br w:type="page"/>
      </w:r>
    </w:p>
    <w:p>
      <w:pPr>
        <w:spacing w:before="360" w:after="120"/>
        <w:jc w:val="left"/>
        <w:pBdr>
          <w:bottom w:val="single" w:sz="4" w:space="2" w:color="0068B5"/>
        </w:pBdr>
      </w:pPr>
      <w:r>
        <w:rPr>
          <w:rFonts w:ascii="Calibri" w:hAnsi="Calibri"/>
          <w:b/>
          <w:color w:val="0068B5"/>
          <w:sz w:val="32"/>
        </w:rPr>
        <w:t>Days 31–60: The P&amp;L Truth Audit — Finding Where the Money Actually Goes vs. Where the Story Says It Goes</w:t>
      </w:r>
    </w:p>
    <w:p>
      <w:pPr>
        <w:spacing w:before="0" w:after="140" w:lineRule="auto" w:line="276"/>
        <w:jc w:val="left"/>
      </w:pPr>
      <w:r>
        <w:rPr>
          <w:rFonts w:ascii="Calibri" w:hAnsi="Calibri"/>
          <w:b w:val="0"/>
          <w:i w:val="0"/>
          <w:color w:val="44556A"/>
          <w:sz w:val="22"/>
        </w:rPr>
        <w:t>Every P&amp;L comes with a story. "We're a growth business with temporary margin pressure." "That product line is strategic." "Churn is stabilizing." The story exists because P&amp;Ls are managed by humans who present to other humans, and every layer of presentation smooths the numbers a little more. By the time a P&amp;L reaches a board deck, it's been narrated three times.</w:t>
      </w:r>
    </w:p>
    <w:p>
      <w:pPr>
        <w:spacing w:before="0" w:after="140" w:lineRule="auto" w:line="276"/>
        <w:jc w:val="left"/>
      </w:pPr>
      <w:r>
        <w:rPr>
          <w:rFonts w:ascii="Calibri" w:hAnsi="Calibri"/>
          <w:b w:val="0"/>
          <w:i w:val="0"/>
          <w:color w:val="44556A"/>
          <w:sz w:val="22"/>
        </w:rPr>
        <w:t>Your job in month two is to un-narrate it. Not because anyone's lying — usually nobody is, exactly — but because the previous GM's P&amp;L reflects the previous GM's chosen framings, buried assumptions, and quiet allocations. You cannot own numbers you haven't personally reconstructed. Here's the audit, in five passes.</w:t>
      </w:r>
    </w:p>
    <w:p>
      <w:pPr>
        <w:spacing w:before="0" w:after="140" w:lineRule="auto" w:line="276"/>
        <w:jc w:val="left"/>
      </w:pPr>
      <w:r>
        <w:rPr>
          <w:rFonts w:ascii="Calibri" w:hAnsi="Calibri"/>
          <w:b/>
          <w:i w:val="0"/>
          <w:color w:val="44556A"/>
          <w:sz w:val="22"/>
        </w:rPr>
        <w:t>Pass 1: Rebuild revenue from the bottom up.</w:t>
      </w:r>
      <w:r>
        <w:rPr>
          <w:rFonts w:ascii="Calibri" w:hAnsi="Calibri"/>
          <w:b w:val="0"/>
          <w:i w:val="0"/>
          <w:color w:val="44556A"/>
          <w:sz w:val="22"/>
        </w:rPr>
        <w:t xml:space="preserve"> Ignore the segment rollups. Pull the raw list: every account or revenue stream, actual dollars, trailing eight quarters. Then answer, yourself, in a spreadsheet you built: What's the real concentration — what percent of revenue is the top ten accounts, and when does each renew? Which revenue is genuinely recurring versus re-sold every year but </w:t>
      </w:r>
      <w:r>
        <w:rPr>
          <w:rFonts w:ascii="Calibri" w:hAnsi="Calibri"/>
          <w:b w:val="0"/>
          <w:i/>
          <w:color w:val="44556A"/>
          <w:sz w:val="22"/>
        </w:rPr>
        <w:t>labeled</w:t>
      </w:r>
      <w:r>
        <w:rPr>
          <w:rFonts w:ascii="Calibri" w:hAnsi="Calibri"/>
          <w:b w:val="0"/>
          <w:i w:val="0"/>
          <w:color w:val="44556A"/>
          <w:sz w:val="22"/>
        </w:rPr>
        <w:t xml:space="preserve"> recurring? What's growing, what's decaying, and what's flat-but-repriced? Nearly every P&amp;L audit I've seen finds the same buried headline: the business is more concentrated and more fragile than the segment story implies, and one or two accounts are quietly holding up a "diversified" narrative. You need to know if that's true here before anyone else decides to tell you.</w:t>
      </w:r>
    </w:p>
    <w:p>
      <w:pPr>
        <w:spacing w:before="0" w:after="140" w:lineRule="auto" w:line="276"/>
        <w:jc w:val="left"/>
      </w:pPr>
      <w:r>
        <w:rPr>
          <w:rFonts w:ascii="Calibri" w:hAnsi="Calibri"/>
          <w:b/>
          <w:i w:val="0"/>
          <w:color w:val="44556A"/>
          <w:sz w:val="22"/>
        </w:rPr>
        <w:t>Pass 2: Follow the allocations.</w:t>
      </w:r>
      <w:r>
        <w:rPr>
          <w:rFonts w:ascii="Calibri" w:hAnsi="Calibri"/>
          <w:b w:val="0"/>
          <w:i w:val="0"/>
          <w:color w:val="44556A"/>
          <w:sz w:val="22"/>
        </w:rPr>
        <w:t xml:space="preserve"> The line between a profitable business unit and an unprofitable one is often nothing but allocation methodology — how corporate overhead, shared engineering, and platform costs get smeared across P&amp;Ls. Sit with your finance partner and ask the naive questions on every allocated line: </w:t>
      </w:r>
      <w:r>
        <w:rPr>
          <w:rFonts w:ascii="Calibri" w:hAnsi="Calibri"/>
          <w:b w:val="0"/>
          <w:i/>
          <w:color w:val="44556A"/>
          <w:sz w:val="22"/>
        </w:rPr>
        <w:t>Who decided this split? When? What would change if we allocated by usage instead of headcount?</w:t>
      </w:r>
      <w:r>
        <w:rPr>
          <w:rFonts w:ascii="Calibri" w:hAnsi="Calibri"/>
          <w:b w:val="0"/>
          <w:i w:val="0"/>
          <w:color w:val="44556A"/>
          <w:sz w:val="22"/>
        </w:rPr>
        <w:t xml:space="preserve"> You will find at least one allocation that exists because of a negotiation someone won in 2021 and nobody has touched since. Sometimes your P&amp;L is subsidizing another GM's. Sometimes it's the reverse — and you'd better know before you brag about margins that aren't structurally yours.</w:t>
      </w:r>
    </w:p>
    <w:p>
      <w:pPr>
        <w:spacing w:before="0" w:after="140" w:lineRule="auto" w:line="276"/>
        <w:jc w:val="left"/>
      </w:pPr>
      <w:r>
        <w:rPr>
          <w:rFonts w:ascii="Calibri" w:hAnsi="Calibri"/>
          <w:b/>
          <w:i w:val="0"/>
          <w:color w:val="44556A"/>
          <w:sz w:val="22"/>
        </w:rPr>
        <w:t>Pass 3: Hunt the deferred pain.</w:t>
      </w:r>
      <w:r>
        <w:rPr>
          <w:rFonts w:ascii="Calibri" w:hAnsi="Calibri"/>
          <w:b w:val="0"/>
          <w:i w:val="0"/>
          <w:color w:val="44556A"/>
          <w:sz w:val="22"/>
        </w:rPr>
        <w:t xml:space="preserve"> Every inherited P&amp;L has costs that were pushed out of the window you're now standing in: maintenance postponed to flatter last year's margin, hiring backfills frozen "temporarily," tech debt with a real dollar tag, a contract renewal that's going to reprice 30% up, revenue pulled forward into last quarter that made the exit rate look better than the run rate. Ask finance directly: "What costs are coming that aren't in the current forecast? What did we do in the last four quarters that borrowed from the next four?" Then ask engineering and ops the same question, because finance doesn't always know. The deferred-pain list is your protection: surface it </w:t>
      </w:r>
      <w:r>
        <w:rPr>
          <w:rFonts w:ascii="Calibri" w:hAnsi="Calibri"/>
          <w:b w:val="0"/>
          <w:i/>
          <w:color w:val="44556A"/>
          <w:sz w:val="22"/>
        </w:rPr>
        <w:t>now</w:t>
      </w:r>
      <w:r>
        <w:rPr>
          <w:rFonts w:ascii="Calibri" w:hAnsi="Calibri"/>
          <w:b w:val="0"/>
          <w:i w:val="0"/>
          <w:color w:val="44556A"/>
          <w:sz w:val="22"/>
        </w:rPr>
        <w:t>, in your first sixty days, and it's inherited baggage you're transparently managing. Surface it in month eight and it's your miss.</w:t>
      </w:r>
    </w:p>
    <w:p>
      <w:pPr>
        <w:spacing w:before="0" w:after="140" w:lineRule="auto" w:line="276"/>
        <w:jc w:val="left"/>
      </w:pPr>
      <w:r>
        <w:rPr>
          <w:rFonts w:ascii="Calibri" w:hAnsi="Calibri"/>
          <w:b/>
          <w:i w:val="0"/>
          <w:color w:val="44556A"/>
          <w:sz w:val="22"/>
        </w:rPr>
        <w:t>Pass 4: Test the unit economics by hand.</w:t>
      </w:r>
      <w:r>
        <w:rPr>
          <w:rFonts w:ascii="Calibri" w:hAnsi="Calibri"/>
          <w:b w:val="0"/>
          <w:i w:val="0"/>
          <w:color w:val="44556A"/>
          <w:sz w:val="22"/>
        </w:rPr>
        <w:t xml:space="preserve"> Whatever the business's core unit is — a customer, a contract, a transaction — take five real examples and walk them end to end: fully loaded cost to acquire, to serve, to retain. Not the blended model in the board deck. Five actual instances, with real invoices and real support tickets. Blended averages hide bimodal truths constantly: profitable segments subsidizing unprofitable ones inside a healthy-looking average. If the five real examples don't roughly reproduce the model's claims, you've found the most important thread in the entire audit. Pull it.</w:t>
      </w:r>
    </w:p>
    <w:p>
      <w:pPr>
        <w:spacing w:before="0" w:after="140" w:lineRule="auto" w:line="276"/>
        <w:jc w:val="left"/>
      </w:pPr>
      <w:r>
        <w:rPr>
          <w:rFonts w:ascii="Calibri" w:hAnsi="Calibri"/>
          <w:b/>
          <w:i w:val="0"/>
          <w:color w:val="44556A"/>
          <w:sz w:val="22"/>
        </w:rPr>
        <w:t>Pass 5: Reconcile story to numbers — in writing, for yourself.</w:t>
      </w:r>
      <w:r>
        <w:rPr>
          <w:rFonts w:ascii="Calibri" w:hAnsi="Calibri"/>
          <w:b w:val="0"/>
          <w:i w:val="0"/>
          <w:color w:val="44556A"/>
          <w:sz w:val="22"/>
        </w:rPr>
        <w:t xml:space="preserve"> Take the three or four house narratives from month one ("churn is an onboarding problem," "the enterprise segment is our future") and grade each against what your rebuilt numbers actually show: </w:t>
      </w:r>
      <w:r>
        <w:rPr>
          <w:rFonts w:ascii="Calibri" w:hAnsi="Calibri"/>
          <w:b w:val="0"/>
          <w:i/>
          <w:color w:val="44556A"/>
          <w:sz w:val="22"/>
        </w:rPr>
        <w:t>confirmed, partially true, or unsupported.</w:t>
      </w:r>
      <w:r>
        <w:rPr>
          <w:rFonts w:ascii="Calibri" w:hAnsi="Calibri"/>
          <w:b w:val="0"/>
          <w:i w:val="0"/>
          <w:color w:val="44556A"/>
          <w:sz w:val="22"/>
        </w:rPr>
        <w:t xml:space="preserve"> This one-page private memo is the most valuable document of your ramp. It's the difference between a GM who can be managed by narrative and one who can't.</w:t>
      </w:r>
    </w:p>
    <w:p>
      <w:pPr>
        <w:spacing w:before="0" w:after="140" w:lineRule="auto" w:line="276"/>
        <w:jc w:val="left"/>
      </w:pPr>
      <w:r>
        <w:rPr>
          <w:rFonts w:ascii="Calibri" w:hAnsi="Calibri"/>
          <w:b w:val="0"/>
          <w:i w:val="0"/>
          <w:color w:val="44556A"/>
          <w:sz w:val="22"/>
        </w:rPr>
        <w:t xml:space="preserve">Two rules for how you conduct all of this. </w:t>
      </w:r>
      <w:r>
        <w:rPr>
          <w:rFonts w:ascii="Calibri" w:hAnsi="Calibri"/>
          <w:b/>
          <w:i w:val="0"/>
          <w:color w:val="44556A"/>
          <w:sz w:val="22"/>
        </w:rPr>
        <w:t>First, audit without accusing.</w:t>
      </w:r>
      <w:r>
        <w:rPr>
          <w:rFonts w:ascii="Calibri" w:hAnsi="Calibri"/>
          <w:b w:val="0"/>
          <w:i w:val="0"/>
          <w:color w:val="44556A"/>
          <w:sz w:val="22"/>
        </w:rPr>
        <w:t xml:space="preserve"> Frame everything as "help me learn how we count things," never "let's find out what's wrong." The people helping you dig are the same people whose framings you're auditing; if the audit feels like a prosecution, the shovels disappear. </w:t>
      </w:r>
      <w:r>
        <w:rPr>
          <w:rFonts w:ascii="Calibri" w:hAnsi="Calibri"/>
          <w:b/>
          <w:i w:val="0"/>
          <w:color w:val="44556A"/>
          <w:sz w:val="22"/>
        </w:rPr>
        <w:t>Second, make your finance partner your co-author, not your subject.</w:t>
      </w:r>
      <w:r>
        <w:rPr>
          <w:rFonts w:ascii="Calibri" w:hAnsi="Calibri"/>
          <w:b w:val="0"/>
          <w:i w:val="0"/>
          <w:color w:val="44556A"/>
          <w:sz w:val="22"/>
        </w:rPr>
        <w:t xml:space="preserve"> A finance lead who feels investigated will bury you in reconciliations. One who feels like your partner in truth-finding will hand you every body's burial coordinates — they've usually been waiting years for a GM who wanted the un-narrated version.</w:t>
      </w:r>
    </w:p>
    <w:p>
      <w:pPr>
        <w:spacing w:before="0" w:after="140" w:lineRule="auto" w:line="276"/>
        <w:jc w:val="left"/>
      </w:pPr>
      <w:r>
        <w:rPr>
          <w:rFonts w:ascii="Calibri" w:hAnsi="Calibri"/>
          <w:b w:val="0"/>
          <w:i w:val="0"/>
          <w:color w:val="44556A"/>
          <w:sz w:val="22"/>
        </w:rPr>
        <w:t>By day 60, you know three things with personal certainty: where the money really comes from, where it really goes, and which parts of the house story are load-bearing fictions. Which means you're finally qualified to do what everyone's been waiting for you to do.</w:t>
      </w:r>
    </w:p>
    <w:p>
      <w:pPr>
        <w:spacing w:before="160" w:after="160"/>
      </w:pPr>
      <w:r>
        <w:rPr>
          <w:rFonts w:ascii="Calibri" w:hAnsi="Calibri"/>
          <w:color w:val="0068B5"/>
          <w:sz w:val="16"/>
        </w:rPr>
        <w:t>────────────────────────────────────────────────────────────────────────────────</w:t>
      </w:r>
    </w:p>
    <w:p>
      <w:pPr>
        <w:spacing w:before="0" w:after="0"/>
      </w:pPr>
      <w:r>
        <w:br w:type="page"/>
      </w:r>
    </w:p>
    <w:p>
      <w:pPr>
        <w:spacing w:before="360" w:after="120"/>
        <w:jc w:val="left"/>
        <w:pBdr>
          <w:bottom w:val="single" w:sz="4" w:space="2" w:color="0068B5"/>
        </w:pBdr>
      </w:pPr>
      <w:r>
        <w:rPr>
          <w:rFonts w:ascii="Calibri" w:hAnsi="Calibri"/>
          <w:b/>
          <w:color w:val="0068B5"/>
          <w:sz w:val="32"/>
        </w:rPr>
        <w:t>Days 61–90: Your First Real Move — One Change That Signals Exactly Who You Are</w:t>
      </w:r>
    </w:p>
    <w:p>
      <w:pPr>
        <w:spacing w:before="0" w:after="140" w:lineRule="auto" w:line="276"/>
        <w:jc w:val="left"/>
      </w:pPr>
      <w:r>
        <w:rPr>
          <w:rFonts w:ascii="Calibri" w:hAnsi="Calibri"/>
          <w:b w:val="0"/>
          <w:i w:val="0"/>
          <w:color w:val="44556A"/>
          <w:sz w:val="22"/>
        </w:rPr>
        <w:t xml:space="preserve">Everything so far has been preparation for a single decision: your first real move. Not your first decision — you've been making operational calls since week one. Your first </w:t>
      </w:r>
      <w:r>
        <w:rPr>
          <w:rFonts w:ascii="Calibri" w:hAnsi="Calibri"/>
          <w:b w:val="0"/>
          <w:i/>
          <w:color w:val="44556A"/>
          <w:sz w:val="22"/>
        </w:rPr>
        <w:t>move</w:t>
      </w:r>
      <w:r>
        <w:rPr>
          <w:rFonts w:ascii="Calibri" w:hAnsi="Calibri"/>
          <w:b w:val="0"/>
          <w:i w:val="0"/>
          <w:color w:val="44556A"/>
          <w:sz w:val="22"/>
        </w:rPr>
        <w:t>: the first change the org will read as a statement of who you are and what you'll be like to work for. You only get one first move. Choose it like it matters, because it's the most-discussed thing you'll do all year.</w:t>
      </w:r>
    </w:p>
    <w:p>
      <w:pPr>
        <w:spacing w:before="0" w:after="140" w:lineRule="auto" w:line="276"/>
        <w:jc w:val="left"/>
      </w:pPr>
      <w:r>
        <w:rPr>
          <w:rFonts w:ascii="Calibri" w:hAnsi="Calibri"/>
          <w:b/>
          <w:i w:val="0"/>
          <w:color w:val="44556A"/>
          <w:sz w:val="22"/>
        </w:rPr>
        <w:t>What qualifies as a real move.</w:t>
      </w:r>
      <w:r>
        <w:rPr>
          <w:rFonts w:ascii="Calibri" w:hAnsi="Calibri"/>
          <w:b w:val="0"/>
          <w:i w:val="0"/>
          <w:color w:val="44556A"/>
          <w:sz w:val="22"/>
        </w:rPr>
        <w:t xml:space="preserve"> It has to clear four bars:</w:t>
      </w:r>
    </w:p>
    <w:p>
      <w:pPr>
        <w:spacing w:before="20" w:after="60"/>
        <w:ind w:left="576" w:hanging="360"/>
        <w:jc w:val="left"/>
      </w:pPr>
      <w:r>
        <w:rPr>
          <w:rFonts w:ascii="Calibri" w:hAnsi="Calibri"/>
          <w:color w:val="0068B5"/>
          <w:sz w:val="22"/>
        </w:rPr>
        <w:t xml:space="preserve">▸  </w:t>
      </w:r>
      <w:r>
        <w:rPr>
          <w:rFonts w:ascii="Calibri" w:hAnsi="Calibri"/>
          <w:b/>
          <w:i w:val="0"/>
          <w:color w:val="44556A"/>
          <w:sz w:val="22"/>
        </w:rPr>
        <w:t>It's grounded in the audit.</w:t>
      </w:r>
      <w:r>
        <w:rPr>
          <w:rFonts w:ascii="Calibri" w:hAnsi="Calibri"/>
          <w:b w:val="0"/>
          <w:i w:val="0"/>
          <w:color w:val="44556A"/>
          <w:sz w:val="22"/>
        </w:rPr>
        <w:t xml:space="preserve"> The move should be traceable, publicly, to something you learned in the first sixty days — ideally something the org already knows deep down but hasn't acted on. When your first move confirms what the honest people already believed, you validate every person who told you the truth in month one. That's how you teach an org that telling you the truth pays.</w:t>
      </w:r>
    </w:p>
    <w:p>
      <w:pPr>
        <w:spacing w:before="20" w:after="60"/>
        <w:ind w:left="576" w:hanging="360"/>
        <w:jc w:val="left"/>
      </w:pPr>
      <w:r>
        <w:rPr>
          <w:rFonts w:ascii="Calibri" w:hAnsi="Calibri"/>
          <w:color w:val="0068B5"/>
          <w:sz w:val="22"/>
        </w:rPr>
        <w:t xml:space="preserve">▸  </w:t>
      </w:r>
      <w:r>
        <w:rPr>
          <w:rFonts w:ascii="Calibri" w:hAnsi="Calibri"/>
          <w:b/>
          <w:i w:val="0"/>
          <w:color w:val="44556A"/>
          <w:sz w:val="22"/>
        </w:rPr>
        <w:t>It's consequential but survivable.</w:t>
      </w:r>
      <w:r>
        <w:rPr>
          <w:rFonts w:ascii="Calibri" w:hAnsi="Calibri"/>
          <w:b w:val="0"/>
          <w:i w:val="0"/>
          <w:color w:val="44556A"/>
          <w:sz w:val="22"/>
        </w:rPr>
        <w:t xml:space="preserve"> Big enough that nobody mistakes it for housekeeping; contained enough that if you're wrong, the business absorbs it. Betting the P&amp;L on move one isn't boldness, it's impatience wearing boldness's jacket.</w:t>
      </w:r>
    </w:p>
    <w:p>
      <w:pPr>
        <w:spacing w:before="20" w:after="60"/>
        <w:ind w:left="576" w:hanging="360"/>
        <w:jc w:val="left"/>
      </w:pPr>
      <w:r>
        <w:rPr>
          <w:rFonts w:ascii="Calibri" w:hAnsi="Calibri"/>
          <w:color w:val="0068B5"/>
          <w:sz w:val="22"/>
        </w:rPr>
        <w:t xml:space="preserve">▸  </w:t>
      </w:r>
      <w:r>
        <w:rPr>
          <w:rFonts w:ascii="Calibri" w:hAnsi="Calibri"/>
          <w:b/>
          <w:i w:val="0"/>
          <w:color w:val="44556A"/>
          <w:sz w:val="22"/>
        </w:rPr>
        <w:t>It creates a visible result within a quarter.</w:t>
      </w:r>
      <w:r>
        <w:rPr>
          <w:rFonts w:ascii="Calibri" w:hAnsi="Calibri"/>
          <w:b w:val="0"/>
          <w:i w:val="0"/>
          <w:color w:val="44556A"/>
          <w:sz w:val="22"/>
        </w:rPr>
        <w:t xml:space="preserve"> Your first move needs a scoreboard. "Repositioning for long-term value" is not a first move; it's a press release. Kill a money-losing product line and the margin shows up. Fix the broken deal-approval process and cycle time drops. Pick something that will </w:t>
      </w:r>
      <w:r>
        <w:rPr>
          <w:rFonts w:ascii="Calibri" w:hAnsi="Calibri"/>
          <w:b w:val="0"/>
          <w:i/>
          <w:color w:val="44556A"/>
          <w:sz w:val="22"/>
        </w:rPr>
        <w:t>prove itself</w:t>
      </w:r>
      <w:r>
        <w:rPr>
          <w:rFonts w:ascii="Calibri" w:hAnsi="Calibri"/>
          <w:b w:val="0"/>
          <w:i w:val="0"/>
          <w:color w:val="44556A"/>
          <w:sz w:val="22"/>
        </w:rPr>
        <w:t xml:space="preserve"> while people are still watching.</w:t>
      </w:r>
    </w:p>
    <w:p>
      <w:pPr>
        <w:spacing w:before="20" w:after="60"/>
        <w:ind w:left="576" w:hanging="360"/>
        <w:jc w:val="left"/>
      </w:pPr>
      <w:r>
        <w:rPr>
          <w:rFonts w:ascii="Calibri" w:hAnsi="Calibri"/>
          <w:color w:val="0068B5"/>
          <w:sz w:val="22"/>
        </w:rPr>
        <w:t xml:space="preserve">▸  </w:t>
      </w:r>
      <w:r>
        <w:rPr>
          <w:rFonts w:ascii="Calibri" w:hAnsi="Calibri"/>
          <w:b/>
          <w:i w:val="0"/>
          <w:color w:val="44556A"/>
          <w:sz w:val="22"/>
        </w:rPr>
        <w:t>It costs you something.</w:t>
      </w:r>
      <w:r>
        <w:rPr>
          <w:rFonts w:ascii="Calibri" w:hAnsi="Calibri"/>
          <w:b w:val="0"/>
          <w:i w:val="0"/>
          <w:color w:val="44556A"/>
          <w:sz w:val="22"/>
        </w:rPr>
        <w:t xml:space="preserve"> This is the one inexperienced GMs miss. A first move that's all upside for you — claiming credit, adding headcount to your favorite function — reads as self-dealing. The moves that build durable authority have a visible price: killing a project that would've been fun to own, returning budget, taking a hard message to your own boss. When the org sees you spend on the business's behalf, they conclude the P&amp;L actually has an owner.</w:t>
      </w:r>
    </w:p>
    <w:p>
      <w:pPr>
        <w:spacing w:before="0" w:after="140" w:lineRule="auto" w:line="276"/>
        <w:jc w:val="left"/>
      </w:pPr>
      <w:r>
        <w:rPr>
          <w:rFonts w:ascii="Calibri" w:hAnsi="Calibri"/>
          <w:b/>
          <w:i w:val="0"/>
          <w:color w:val="44556A"/>
          <w:sz w:val="22"/>
        </w:rPr>
        <w:t>The menu.</w:t>
      </w:r>
      <w:r>
        <w:rPr>
          <w:rFonts w:ascii="Calibri" w:hAnsi="Calibri"/>
          <w:b w:val="0"/>
          <w:i w:val="0"/>
          <w:color w:val="44556A"/>
          <w:sz w:val="22"/>
        </w:rPr>
        <w:t xml:space="preserve"> Sixty days of audit typically surfaces first moves in four families: </w:t>
      </w:r>
      <w:r>
        <w:rPr>
          <w:rFonts w:ascii="Calibri" w:hAnsi="Calibri"/>
          <w:b/>
          <w:i w:val="0"/>
          <w:color w:val="44556A"/>
          <w:sz w:val="22"/>
        </w:rPr>
        <w:t>kill something</w:t>
      </w:r>
      <w:r>
        <w:rPr>
          <w:rFonts w:ascii="Calibri" w:hAnsi="Calibri"/>
          <w:b w:val="0"/>
          <w:i w:val="0"/>
          <w:color w:val="44556A"/>
          <w:sz w:val="22"/>
        </w:rPr>
        <w:t xml:space="preserve"> (the zombie product, initiative, or meeting structure everyone knows is dead but nobody had standing to bury — usually the highest-signal move available, because orgs are addicted to addition and a GM who subtracts is instantly legible); </w:t>
      </w:r>
      <w:r>
        <w:rPr>
          <w:rFonts w:ascii="Calibri" w:hAnsi="Calibri"/>
          <w:b/>
          <w:i w:val="0"/>
          <w:color w:val="44556A"/>
          <w:sz w:val="22"/>
        </w:rPr>
        <w:t>fix the money leak</w:t>
      </w:r>
      <w:r>
        <w:rPr>
          <w:rFonts w:ascii="Calibri" w:hAnsi="Calibri"/>
          <w:b w:val="0"/>
          <w:i w:val="0"/>
          <w:color w:val="44556A"/>
          <w:sz w:val="22"/>
        </w:rPr>
        <w:t xml:space="preserve"> (the mispriced contract, the allocation absurdity, the discounting habit — pure credibility with finance and your boss); </w:t>
      </w:r>
      <w:r>
        <w:rPr>
          <w:rFonts w:ascii="Calibri" w:hAnsi="Calibri"/>
          <w:b/>
          <w:i w:val="0"/>
          <w:color w:val="44556A"/>
          <w:sz w:val="22"/>
        </w:rPr>
        <w:t>unblock the org</w:t>
      </w:r>
      <w:r>
        <w:rPr>
          <w:rFonts w:ascii="Calibri" w:hAnsi="Calibri"/>
          <w:b w:val="0"/>
          <w:i w:val="0"/>
          <w:color w:val="44556A"/>
          <w:sz w:val="22"/>
        </w:rPr>
        <w:t xml:space="preserve"> (the approval bottleneck or planning process everyone hates — highest goodwill per unit of risk); or </w:t>
      </w:r>
      <w:r>
        <w:rPr>
          <w:rFonts w:ascii="Calibri" w:hAnsi="Calibri"/>
          <w:b/>
          <w:i w:val="0"/>
          <w:color w:val="44556A"/>
          <w:sz w:val="22"/>
        </w:rPr>
        <w:t>make the honest call on a person</w:t>
      </w:r>
      <w:r>
        <w:rPr>
          <w:rFonts w:ascii="Calibri" w:hAnsi="Calibri"/>
          <w:b w:val="0"/>
          <w:i w:val="0"/>
          <w:color w:val="44556A"/>
          <w:sz w:val="22"/>
        </w:rPr>
        <w:t xml:space="preserve"> — sometimes the audit's clearest finding is that a key seat is failing and everyone knows it. Moving on a person in your first ninety days is the highest-risk, highest-signal option there is. If the case is unambiguous and triangulated, act; a GM who visibly tolerates a known failure in month three has announced their standards for the next three years. If it's ambiguous, it fails bar #2. Wait.</w:t>
      </w:r>
    </w:p>
    <w:p>
      <w:pPr>
        <w:spacing w:before="0" w:after="140" w:lineRule="auto" w:line="276"/>
        <w:jc w:val="left"/>
      </w:pPr>
      <w:r>
        <w:rPr>
          <w:rFonts w:ascii="Calibri" w:hAnsi="Calibri"/>
          <w:b/>
          <w:i w:val="0"/>
          <w:color w:val="44556A"/>
          <w:sz w:val="22"/>
        </w:rPr>
        <w:t>How to execute it.</w:t>
      </w:r>
      <w:r>
        <w:rPr>
          <w:rFonts w:ascii="Calibri" w:hAnsi="Calibri"/>
          <w:b w:val="0"/>
          <w:i w:val="0"/>
          <w:color w:val="44556A"/>
          <w:sz w:val="22"/>
        </w:rPr>
        <w:t xml:space="preserve"> Three beats. </w:t>
      </w:r>
      <w:r>
        <w:rPr>
          <w:rFonts w:ascii="Calibri" w:hAnsi="Calibri"/>
          <w:b w:val="0"/>
          <w:i/>
          <w:color w:val="44556A"/>
          <w:sz w:val="22"/>
        </w:rPr>
        <w:t>Socialize before you announce</w:t>
      </w:r>
      <w:r>
        <w:rPr>
          <w:rFonts w:ascii="Calibri" w:hAnsi="Calibri"/>
          <w:b w:val="0"/>
          <w:i w:val="0"/>
          <w:color w:val="44556A"/>
          <w:sz w:val="22"/>
        </w:rPr>
        <w:t xml:space="preserve"> — your boss and the two or three stakeholders with power to undermine it hear it privately first, framed as "here's what I found, here's what I'm doing, here's what I need from you." No ambush, no theater. </w:t>
      </w:r>
      <w:r>
        <w:rPr>
          <w:rFonts w:ascii="Calibri" w:hAnsi="Calibri"/>
          <w:b w:val="0"/>
          <w:i/>
          <w:color w:val="44556A"/>
          <w:sz w:val="22"/>
        </w:rPr>
        <w:t>Announce with the reasoning attached</w:t>
      </w:r>
      <w:r>
        <w:rPr>
          <w:rFonts w:ascii="Calibri" w:hAnsi="Calibri"/>
          <w:b w:val="0"/>
          <w:i w:val="0"/>
          <w:color w:val="44556A"/>
          <w:sz w:val="22"/>
        </w:rPr>
        <w:t xml:space="preserve"> — not "we've decided to sunset X," but "here's what the numbers showed, here's what I heard from you in my first month, here's the decision, and here's how we'll know if it worked." Showing your work on move one sets the price of disagreeing with you at "bring better analysis," which is exactly where you want it. </w:t>
      </w:r>
      <w:r>
        <w:rPr>
          <w:rFonts w:ascii="Calibri" w:hAnsi="Calibri"/>
          <w:b w:val="0"/>
          <w:i/>
          <w:color w:val="44556A"/>
          <w:sz w:val="22"/>
        </w:rPr>
        <w:t>Then follow through in public</w:t>
      </w:r>
      <w:r>
        <w:rPr>
          <w:rFonts w:ascii="Calibri" w:hAnsi="Calibri"/>
          <w:b w:val="0"/>
          <w:i w:val="0"/>
          <w:color w:val="44556A"/>
          <w:sz w:val="22"/>
        </w:rPr>
        <w:t xml:space="preserve"> — track the result on the same dashboard you show everyone (see the Dashboard section), and report it whether it's going well or not. If the move works, you've established that your decisions are reasoned bets that pay. If it half-works and you adjust openly, you've established something arguably better: that you correct course on evidence instead of defending your ego. Both beat the alternative reputation, which is: </w:t>
      </w:r>
      <w:r>
        <w:rPr>
          <w:rFonts w:ascii="Calibri" w:hAnsi="Calibri"/>
          <w:b w:val="0"/>
          <w:i/>
          <w:color w:val="44556A"/>
          <w:sz w:val="22"/>
        </w:rPr>
        <w:t>makes no bets at all.</w:t>
      </w:r>
    </w:p>
    <w:p>
      <w:pPr>
        <w:spacing w:before="0" w:after="140" w:lineRule="auto" w:line="276"/>
        <w:jc w:val="left"/>
      </w:pPr>
      <w:r>
        <w:rPr>
          <w:rFonts w:ascii="Calibri" w:hAnsi="Calibri"/>
          <w:b w:val="0"/>
          <w:i w:val="0"/>
          <w:color w:val="44556A"/>
          <w:sz w:val="22"/>
        </w:rPr>
        <w:t>Day 90 arrives and the verdict lands, made of exactly three artifacts: you listened first, you found the truth in the numbers yourself, and you made one real move with your name on it. That's a GM. The org knows the difference. So does your boss.</w:t>
      </w:r>
    </w:p>
    <w:p>
      <w:pPr>
        <w:spacing w:before="160" w:after="160"/>
      </w:pPr>
      <w:r>
        <w:rPr>
          <w:rFonts w:ascii="Calibri" w:hAnsi="Calibri"/>
          <w:color w:val="0068B5"/>
          <w:sz w:val="16"/>
        </w:rPr>
        <w:t>────────────────────────────────────────────────────────────────────────────────</w:t>
      </w:r>
    </w:p>
    <w:p>
      <w:pPr>
        <w:spacing w:before="0" w:after="0"/>
      </w:pPr>
      <w:r>
        <w:br w:type="page"/>
      </w:r>
    </w:p>
    <w:p>
      <w:pPr>
        <w:spacing w:before="360" w:after="120"/>
        <w:jc w:val="left"/>
        <w:pBdr>
          <w:bottom w:val="single" w:sz="4" w:space="2" w:color="0068B5"/>
        </w:pBdr>
      </w:pPr>
      <w:r>
        <w:rPr>
          <w:rFonts w:ascii="Calibri" w:hAnsi="Calibri"/>
          <w:b/>
          <w:color w:val="0068B5"/>
          <w:sz w:val="32"/>
        </w:rPr>
        <w:t>The Stakeholder Map: A Filled-Out Example</w:t>
      </w:r>
    </w:p>
    <w:p>
      <w:pPr>
        <w:spacing w:before="0" w:after="140" w:lineRule="auto" w:line="276"/>
        <w:jc w:val="left"/>
      </w:pPr>
      <w:r>
        <w:rPr>
          <w:rFonts w:ascii="Calibri" w:hAnsi="Calibri"/>
          <w:b w:val="0"/>
          <w:i w:val="0"/>
          <w:color w:val="44556A"/>
          <w:sz w:val="22"/>
        </w:rPr>
        <w:t>Build this in week one, in a private doc, and revise it every Friday. Here's what a finished one looks like — fictional business unit ("Atlas," a $140M software division), fictional people, real dynamics.</w:t>
      </w:r>
    </w:p>
    <w:tbl>
      <w:tblPr>
        <w:tblStyle w:val="TableGrid"/>
        <w:tblW w:type="auto" w:w="0"/>
        <w:tblLook w:firstColumn="1" w:firstRow="1" w:lastColumn="0" w:lastRow="0" w:noHBand="0" w:noVBand="1" w:val="04A0"/>
      </w:tblPr>
      <w:tblGrid>
        <w:gridCol w:w="1560"/>
        <w:gridCol w:w="1560"/>
        <w:gridCol w:w="1560"/>
        <w:gridCol w:w="1560"/>
        <w:gridCol w:w="1560"/>
        <w:gridCol w:w="1560"/>
      </w:tblGrid>
      <w:tr>
        <w:tc>
          <w:tcPr>
            <w:tcW w:type="dxa" w:w="1560"/>
            <w:shd w:val="clear" w:color="auto" w:fill="0068B5"/>
          </w:tcPr>
          <w:p>
            <w:pPr>
              <w:jc w:val="center"/>
            </w:pPr>
            <w:r/>
            <w:r>
              <w:rPr>
                <w:rFonts w:ascii="Calibri" w:hAnsi="Calibri"/>
                <w:b/>
                <w:color w:val="FFFFFF"/>
                <w:sz w:val="18"/>
              </w:rPr>
              <w:t>Person</w:t>
            </w:r>
          </w:p>
        </w:tc>
        <w:tc>
          <w:tcPr>
            <w:tcW w:type="dxa" w:w="1560"/>
            <w:shd w:val="clear" w:color="auto" w:fill="0068B5"/>
          </w:tcPr>
          <w:p>
            <w:pPr>
              <w:jc w:val="center"/>
            </w:pPr>
            <w:r/>
            <w:r>
              <w:rPr>
                <w:rFonts w:ascii="Calibri" w:hAnsi="Calibri"/>
                <w:b/>
                <w:color w:val="FFFFFF"/>
                <w:sz w:val="18"/>
              </w:rPr>
              <w:t>Role</w:t>
            </w:r>
          </w:p>
        </w:tc>
        <w:tc>
          <w:tcPr>
            <w:tcW w:type="dxa" w:w="1560"/>
            <w:shd w:val="clear" w:color="auto" w:fill="0068B5"/>
          </w:tcPr>
          <w:p>
            <w:pPr>
              <w:jc w:val="center"/>
            </w:pPr>
            <w:r/>
            <w:r>
              <w:rPr>
                <w:rFonts w:ascii="Calibri" w:hAnsi="Calibri"/>
                <w:b/>
                <w:color w:val="FFFFFF"/>
                <w:sz w:val="18"/>
              </w:rPr>
              <w:t>Category</w:t>
            </w:r>
          </w:p>
        </w:tc>
        <w:tc>
          <w:tcPr>
            <w:tcW w:type="dxa" w:w="1560"/>
            <w:shd w:val="clear" w:color="auto" w:fill="0068B5"/>
          </w:tcPr>
          <w:p>
            <w:pPr>
              <w:jc w:val="center"/>
            </w:pPr>
            <w:r/>
            <w:r>
              <w:rPr>
                <w:rFonts w:ascii="Calibri" w:hAnsi="Calibri"/>
                <w:b/>
                <w:color w:val="FFFFFF"/>
                <w:sz w:val="18"/>
              </w:rPr>
              <w:t>What they want</w:t>
            </w:r>
          </w:p>
        </w:tc>
        <w:tc>
          <w:tcPr>
            <w:tcW w:type="dxa" w:w="1560"/>
            <w:shd w:val="clear" w:color="auto" w:fill="0068B5"/>
          </w:tcPr>
          <w:p>
            <w:pPr>
              <w:jc w:val="center"/>
            </w:pPr>
            <w:r/>
            <w:r>
              <w:rPr>
                <w:rFonts w:ascii="Calibri" w:hAnsi="Calibri"/>
                <w:b/>
                <w:color w:val="FFFFFF"/>
                <w:sz w:val="18"/>
              </w:rPr>
              <w:t>What I've observed</w:t>
            </w:r>
          </w:p>
        </w:tc>
        <w:tc>
          <w:tcPr>
            <w:tcW w:type="dxa" w:w="1560"/>
            <w:shd w:val="clear" w:color="auto" w:fill="0068B5"/>
          </w:tcPr>
          <w:p>
            <w:pPr>
              <w:jc w:val="center"/>
            </w:pPr>
            <w:r/>
            <w:r>
              <w:rPr>
                <w:rFonts w:ascii="Calibri" w:hAnsi="Calibri"/>
                <w:b/>
                <w:color w:val="FFFFFF"/>
                <w:sz w:val="18"/>
              </w:rPr>
              <w:t>My move</w:t>
            </w:r>
          </w:p>
        </w:tc>
      </w:tr>
      <w:tr>
        <w:tc>
          <w:tcPr>
            <w:tcW w:type="dxa" w:w="1560"/>
            <w:shd w:val="clear" w:color="auto" w:fill="F0F5FA"/>
          </w:tcPr>
          <w:p>
            <w:r/>
            <w:r>
              <w:rPr>
                <w:rFonts w:ascii="Calibri" w:hAnsi="Calibri"/>
                <w:b/>
                <w:i w:val="0"/>
                <w:color w:val="44556A"/>
                <w:sz w:val="18"/>
              </w:rPr>
              <w:t>Dana Whitfield</w:t>
            </w:r>
          </w:p>
        </w:tc>
        <w:tc>
          <w:tcPr>
            <w:tcW w:type="dxa" w:w="1560"/>
            <w:shd w:val="clear" w:color="auto" w:fill="F0F5FA"/>
          </w:tcPr>
          <w:p>
            <w:r/>
            <w:r>
              <w:rPr>
                <w:rFonts w:ascii="Calibri" w:hAnsi="Calibri"/>
                <w:b w:val="0"/>
                <w:i w:val="0"/>
                <w:color w:val="44556A"/>
                <w:sz w:val="18"/>
              </w:rPr>
              <w:t>Group President (my boss)</w:t>
            </w:r>
          </w:p>
        </w:tc>
        <w:tc>
          <w:tcPr>
            <w:tcW w:type="dxa" w:w="1560"/>
            <w:shd w:val="clear" w:color="auto" w:fill="F0F5FA"/>
          </w:tcPr>
          <w:p>
            <w:r/>
            <w:r>
              <w:rPr>
                <w:rFonts w:ascii="Calibri" w:hAnsi="Calibri"/>
                <w:b/>
                <w:i w:val="0"/>
                <w:color w:val="44556A"/>
                <w:sz w:val="18"/>
              </w:rPr>
              <w:t>Sponsor</w:t>
            </w:r>
          </w:p>
        </w:tc>
        <w:tc>
          <w:tcPr>
            <w:tcW w:type="dxa" w:w="1560"/>
            <w:shd w:val="clear" w:color="auto" w:fill="F0F5FA"/>
          </w:tcPr>
          <w:p>
            <w:r/>
            <w:r>
              <w:rPr>
                <w:rFonts w:ascii="Calibri" w:hAnsi="Calibri"/>
                <w:b w:val="0"/>
                <w:i w:val="0"/>
                <w:color w:val="44556A"/>
                <w:sz w:val="18"/>
              </w:rPr>
              <w:t>Atlas margin +3pts this FY; no surprises reaching the CEO before her</w:t>
            </w:r>
          </w:p>
        </w:tc>
        <w:tc>
          <w:tcPr>
            <w:tcW w:type="dxa" w:w="1560"/>
            <w:shd w:val="clear" w:color="auto" w:fill="F0F5FA"/>
          </w:tcPr>
          <w:p>
            <w:r/>
            <w:r>
              <w:rPr>
                <w:rFonts w:ascii="Calibri" w:hAnsi="Calibri"/>
                <w:b w:val="0"/>
                <w:i w:val="0"/>
                <w:color w:val="44556A"/>
                <w:sz w:val="18"/>
              </w:rPr>
              <w:t>Hired me over an internal candidate — spent political capital. Hates ambush more than bad news.</w:t>
            </w:r>
          </w:p>
        </w:tc>
        <w:tc>
          <w:tcPr>
            <w:tcW w:type="dxa" w:w="1560"/>
            <w:shd w:val="clear" w:color="auto" w:fill="F0F5FA"/>
          </w:tcPr>
          <w:p>
            <w:r/>
            <w:r>
              <w:rPr>
                <w:rFonts w:ascii="Calibri" w:hAnsi="Calibri"/>
                <w:b w:val="0"/>
                <w:i w:val="0"/>
                <w:color w:val="44556A"/>
                <w:sz w:val="18"/>
              </w:rPr>
              <w:t xml:space="preserve">Weekly one-pager, every Friday, includes the ugly items first. Bring her the deferred-pain list by day 45 so it's </w:t>
            </w:r>
            <w:r>
              <w:rPr>
                <w:rFonts w:ascii="Calibri" w:hAnsi="Calibri"/>
                <w:b w:val="0"/>
                <w:i/>
                <w:color w:val="44556A"/>
                <w:sz w:val="18"/>
              </w:rPr>
              <w:t>our</w:t>
            </w:r>
            <w:r>
              <w:rPr>
                <w:rFonts w:ascii="Calibri" w:hAnsi="Calibri"/>
                <w:b w:val="0"/>
                <w:i w:val="0"/>
                <w:color w:val="44556A"/>
                <w:sz w:val="18"/>
              </w:rPr>
              <w:t xml:space="preserve"> problem, not my miss.</w:t>
            </w:r>
          </w:p>
        </w:tc>
      </w:tr>
      <w:tr>
        <w:tc>
          <w:tcPr>
            <w:tcW w:type="dxa" w:w="1560"/>
            <w:shd w:val="clear" w:color="auto" w:fill="FFFFFF"/>
          </w:tcPr>
          <w:p>
            <w:r/>
            <w:r>
              <w:rPr>
                <w:rFonts w:ascii="Calibri" w:hAnsi="Calibri"/>
                <w:b/>
                <w:i w:val="0"/>
                <w:color w:val="44556A"/>
                <w:sz w:val="18"/>
              </w:rPr>
              <w:t>Marcus Oyelaran</w:t>
            </w:r>
          </w:p>
        </w:tc>
        <w:tc>
          <w:tcPr>
            <w:tcW w:type="dxa" w:w="1560"/>
            <w:shd w:val="clear" w:color="auto" w:fill="FFFFFF"/>
          </w:tcPr>
          <w:p>
            <w:r/>
            <w:r>
              <w:rPr>
                <w:rFonts w:ascii="Calibri" w:hAnsi="Calibri"/>
                <w:b w:val="0"/>
                <w:i w:val="0"/>
                <w:color w:val="44556A"/>
                <w:sz w:val="18"/>
              </w:rPr>
              <w:t>VP Finance, Atlas</w:t>
            </w:r>
          </w:p>
        </w:tc>
        <w:tc>
          <w:tcPr>
            <w:tcW w:type="dxa" w:w="1560"/>
            <w:shd w:val="clear" w:color="auto" w:fill="FFFFFF"/>
          </w:tcPr>
          <w:p>
            <w:r/>
            <w:r>
              <w:rPr>
                <w:rFonts w:ascii="Calibri" w:hAnsi="Calibri"/>
                <w:b/>
                <w:i w:val="0"/>
                <w:color w:val="44556A"/>
                <w:sz w:val="18"/>
              </w:rPr>
              <w:t>Ally</w:t>
            </w:r>
          </w:p>
        </w:tc>
        <w:tc>
          <w:tcPr>
            <w:tcW w:type="dxa" w:w="1560"/>
            <w:shd w:val="clear" w:color="auto" w:fill="FFFFFF"/>
          </w:tcPr>
          <w:p>
            <w:r/>
            <w:r>
              <w:rPr>
                <w:rFonts w:ascii="Calibri" w:hAnsi="Calibri"/>
                <w:b w:val="0"/>
                <w:i w:val="0"/>
                <w:color w:val="44556A"/>
                <w:sz w:val="18"/>
              </w:rPr>
              <w:t>A GM who reads the P&amp;L personally; air cover to fix the 2021 allocation mess</w:t>
            </w:r>
          </w:p>
        </w:tc>
        <w:tc>
          <w:tcPr>
            <w:tcW w:type="dxa" w:w="1560"/>
            <w:shd w:val="clear" w:color="auto" w:fill="FFFFFF"/>
          </w:tcPr>
          <w:p>
            <w:r/>
            <w:r>
              <w:rPr>
                <w:rFonts w:ascii="Calibri" w:hAnsi="Calibri"/>
                <w:b w:val="0"/>
                <w:i w:val="0"/>
                <w:color w:val="44556A"/>
                <w:sz w:val="18"/>
              </w:rPr>
              <w:t>Flagged the services-margin fiction unprompted in week 2. Has receipts on everything. Previous GM sidelined him.</w:t>
            </w:r>
          </w:p>
        </w:tc>
        <w:tc>
          <w:tcPr>
            <w:tcW w:type="dxa" w:w="1560"/>
            <w:shd w:val="clear" w:color="auto" w:fill="FFFFFF"/>
          </w:tcPr>
          <w:p>
            <w:r/>
            <w:r>
              <w:rPr>
                <w:rFonts w:ascii="Calibri" w:hAnsi="Calibri"/>
                <w:b w:val="0"/>
                <w:i w:val="0"/>
                <w:color w:val="44556A"/>
                <w:sz w:val="18"/>
              </w:rPr>
              <w:t>Co-author of the truth audit. Give him public credit at the day-60 review — visibly rewarding truth-tellers is the point.</w:t>
            </w:r>
          </w:p>
        </w:tc>
      </w:tr>
      <w:tr>
        <w:tc>
          <w:tcPr>
            <w:tcW w:type="dxa" w:w="1560"/>
            <w:shd w:val="clear" w:color="auto" w:fill="F0F5FA"/>
          </w:tcPr>
          <w:p>
            <w:r/>
            <w:r>
              <w:rPr>
                <w:rFonts w:ascii="Calibri" w:hAnsi="Calibri"/>
                <w:b/>
                <w:i w:val="0"/>
                <w:color w:val="44556A"/>
                <w:sz w:val="18"/>
              </w:rPr>
              <w:t>Priya Raman</w:t>
            </w:r>
          </w:p>
        </w:tc>
        <w:tc>
          <w:tcPr>
            <w:tcW w:type="dxa" w:w="1560"/>
            <w:shd w:val="clear" w:color="auto" w:fill="F0F5FA"/>
          </w:tcPr>
          <w:p>
            <w:r/>
            <w:r>
              <w:rPr>
                <w:rFonts w:ascii="Calibri" w:hAnsi="Calibri"/>
                <w:b w:val="0"/>
                <w:i w:val="0"/>
                <w:color w:val="44556A"/>
                <w:sz w:val="18"/>
              </w:rPr>
              <w:t>VP Product</w:t>
            </w:r>
          </w:p>
        </w:tc>
        <w:tc>
          <w:tcPr>
            <w:tcW w:type="dxa" w:w="1560"/>
            <w:shd w:val="clear" w:color="auto" w:fill="F0F5FA"/>
          </w:tcPr>
          <w:p>
            <w:r/>
            <w:r>
              <w:rPr>
                <w:rFonts w:ascii="Calibri" w:hAnsi="Calibri"/>
                <w:b/>
                <w:i w:val="0"/>
                <w:color w:val="44556A"/>
                <w:sz w:val="18"/>
              </w:rPr>
              <w:t>Ally (earnable)</w:t>
            </w:r>
          </w:p>
        </w:tc>
        <w:tc>
          <w:tcPr>
            <w:tcW w:type="dxa" w:w="1560"/>
            <w:shd w:val="clear" w:color="auto" w:fill="F0F5FA"/>
          </w:tcPr>
          <w:p>
            <w:r/>
            <w:r>
              <w:rPr>
                <w:rFonts w:ascii="Calibri" w:hAnsi="Calibri"/>
                <w:b w:val="0"/>
                <w:i w:val="0"/>
                <w:color w:val="44556A"/>
                <w:sz w:val="18"/>
              </w:rPr>
              <w:t>Resources for the platform rebuild; a GM who won't trade roadmap for quarter-end deals</w:t>
            </w:r>
          </w:p>
        </w:tc>
        <w:tc>
          <w:tcPr>
            <w:tcW w:type="dxa" w:w="1560"/>
            <w:shd w:val="clear" w:color="auto" w:fill="F0F5FA"/>
          </w:tcPr>
          <w:p>
            <w:r/>
            <w:r>
              <w:rPr>
                <w:rFonts w:ascii="Calibri" w:hAnsi="Calibri"/>
                <w:b w:val="0"/>
                <w:i w:val="0"/>
                <w:color w:val="44556A"/>
                <w:sz w:val="18"/>
              </w:rPr>
              <w:t>Sharp, direct, slightly burned — last GM promised roadmap protection twice and folded twice. Watching whether I'm different.</w:t>
            </w:r>
          </w:p>
        </w:tc>
        <w:tc>
          <w:tcPr>
            <w:tcW w:type="dxa" w:w="1560"/>
            <w:shd w:val="clear" w:color="auto" w:fill="F0F5FA"/>
          </w:tcPr>
          <w:p>
            <w:r/>
            <w:r>
              <w:rPr>
                <w:rFonts w:ascii="Calibri" w:hAnsi="Calibri"/>
                <w:b w:val="0"/>
                <w:i w:val="0"/>
                <w:color w:val="44556A"/>
                <w:sz w:val="18"/>
              </w:rPr>
              <w:t>Don't promise anything for 60 days. Then make one roadmap commitment and keep it visibly. She converts on evidence only.</w:t>
            </w:r>
          </w:p>
        </w:tc>
      </w:tr>
      <w:tr>
        <w:tc>
          <w:tcPr>
            <w:tcW w:type="dxa" w:w="1560"/>
            <w:shd w:val="clear" w:color="auto" w:fill="FFFFFF"/>
          </w:tcPr>
          <w:p>
            <w:r/>
            <w:r>
              <w:rPr>
                <w:rFonts w:ascii="Calibri" w:hAnsi="Calibri"/>
                <w:b/>
                <w:i w:val="0"/>
                <w:color w:val="44556A"/>
                <w:sz w:val="18"/>
              </w:rPr>
              <w:t>Tom Brindle</w:t>
            </w:r>
          </w:p>
        </w:tc>
        <w:tc>
          <w:tcPr>
            <w:tcW w:type="dxa" w:w="1560"/>
            <w:shd w:val="clear" w:color="auto" w:fill="FFFFFF"/>
          </w:tcPr>
          <w:p>
            <w:r/>
            <w:r>
              <w:rPr>
                <w:rFonts w:ascii="Calibri" w:hAnsi="Calibri"/>
                <w:b w:val="0"/>
                <w:i w:val="0"/>
                <w:color w:val="44556A"/>
                <w:sz w:val="18"/>
              </w:rPr>
              <w:t>VP Sales</w:t>
            </w:r>
          </w:p>
        </w:tc>
        <w:tc>
          <w:tcPr>
            <w:tcW w:type="dxa" w:w="1560"/>
            <w:shd w:val="clear" w:color="auto" w:fill="FFFFFF"/>
          </w:tcPr>
          <w:p>
            <w:r/>
            <w:r>
              <w:rPr>
                <w:rFonts w:ascii="Calibri" w:hAnsi="Calibri"/>
                <w:b/>
                <w:i w:val="0"/>
                <w:color w:val="44556A"/>
                <w:sz w:val="18"/>
              </w:rPr>
              <w:t>Neutral (leaning skeptical)</w:t>
            </w:r>
          </w:p>
        </w:tc>
        <w:tc>
          <w:tcPr>
            <w:tcW w:type="dxa" w:w="1560"/>
            <w:shd w:val="clear" w:color="auto" w:fill="FFFFFF"/>
          </w:tcPr>
          <w:p>
            <w:r/>
            <w:r>
              <w:rPr>
                <w:rFonts w:ascii="Calibri" w:hAnsi="Calibri"/>
                <w:b w:val="0"/>
                <w:i w:val="0"/>
                <w:color w:val="44556A"/>
                <w:sz w:val="18"/>
              </w:rPr>
              <w:t>Comp plan untouched; discount authority untouched; a GM who "gets" sales</w:t>
            </w:r>
          </w:p>
        </w:tc>
        <w:tc>
          <w:tcPr>
            <w:tcW w:type="dxa" w:w="1560"/>
            <w:shd w:val="clear" w:color="auto" w:fill="FFFFFF"/>
          </w:tcPr>
          <w:p>
            <w:r/>
            <w:r>
              <w:rPr>
                <w:rFonts w:ascii="Calibri" w:hAnsi="Calibri"/>
                <w:b w:val="0"/>
                <w:i w:val="0"/>
                <w:color w:val="44556A"/>
                <w:sz w:val="18"/>
              </w:rPr>
              <w:t>Charming in staff, tests boundaries in deals. Two of his Q4 megadeals are in my pulled-forward-revenue pile.</w:t>
            </w:r>
          </w:p>
        </w:tc>
        <w:tc>
          <w:tcPr>
            <w:tcW w:type="dxa" w:w="1560"/>
            <w:shd w:val="clear" w:color="auto" w:fill="FFFFFF"/>
          </w:tcPr>
          <w:p>
            <w:r/>
            <w:r>
              <w:rPr>
                <w:rFonts w:ascii="Calibri" w:hAnsi="Calibri"/>
                <w:b w:val="0"/>
                <w:i w:val="0"/>
                <w:color w:val="44556A"/>
                <w:sz w:val="18"/>
              </w:rPr>
              <w:t xml:space="preserve">Ride along on three customer calls first — respect before scrutiny. Then reset discount thresholds as a </w:t>
            </w:r>
            <w:r>
              <w:rPr>
                <w:rFonts w:ascii="Calibri" w:hAnsi="Calibri"/>
                <w:b w:val="0"/>
                <w:i/>
                <w:color w:val="44556A"/>
                <w:sz w:val="18"/>
              </w:rPr>
              <w:t>process</w:t>
            </w:r>
            <w:r>
              <w:rPr>
                <w:rFonts w:ascii="Calibri" w:hAnsi="Calibri"/>
                <w:b w:val="0"/>
                <w:i w:val="0"/>
                <w:color w:val="44556A"/>
                <w:sz w:val="18"/>
              </w:rPr>
              <w:t xml:space="preserve"> fix, never a personal one. Do not let the first conflict be public.</w:t>
            </w:r>
          </w:p>
        </w:tc>
      </w:tr>
      <w:tr>
        <w:tc>
          <w:tcPr>
            <w:tcW w:type="dxa" w:w="1560"/>
            <w:shd w:val="clear" w:color="auto" w:fill="F0F5FA"/>
          </w:tcPr>
          <w:p>
            <w:r/>
            <w:r>
              <w:rPr>
                <w:rFonts w:ascii="Calibri" w:hAnsi="Calibri"/>
                <w:b/>
                <w:i w:val="0"/>
                <w:color w:val="44556A"/>
                <w:sz w:val="18"/>
              </w:rPr>
              <w:t>Ellen Cho</w:t>
            </w:r>
          </w:p>
        </w:tc>
        <w:tc>
          <w:tcPr>
            <w:tcW w:type="dxa" w:w="1560"/>
            <w:shd w:val="clear" w:color="auto" w:fill="F0F5FA"/>
          </w:tcPr>
          <w:p>
            <w:r/>
            <w:r>
              <w:rPr>
                <w:rFonts w:ascii="Calibri" w:hAnsi="Calibri"/>
                <w:b w:val="0"/>
                <w:i w:val="0"/>
                <w:color w:val="44556A"/>
                <w:sz w:val="18"/>
              </w:rPr>
              <w:t>Sr. Director, Customer Success</w:t>
            </w:r>
          </w:p>
        </w:tc>
        <w:tc>
          <w:tcPr>
            <w:tcW w:type="dxa" w:w="1560"/>
            <w:shd w:val="clear" w:color="auto" w:fill="F0F5FA"/>
          </w:tcPr>
          <w:p>
            <w:r/>
            <w:r>
              <w:rPr>
                <w:rFonts w:ascii="Calibri" w:hAnsi="Calibri"/>
                <w:b/>
                <w:i w:val="0"/>
                <w:color w:val="44556A"/>
                <w:sz w:val="18"/>
              </w:rPr>
              <w:t>Ally (undervalued)</w:t>
            </w:r>
          </w:p>
        </w:tc>
        <w:tc>
          <w:tcPr>
            <w:tcW w:type="dxa" w:w="1560"/>
            <w:shd w:val="clear" w:color="auto" w:fill="F0F5FA"/>
          </w:tcPr>
          <w:p>
            <w:r/>
            <w:r>
              <w:rPr>
                <w:rFonts w:ascii="Calibri" w:hAnsi="Calibri"/>
                <w:b w:val="0"/>
                <w:i w:val="0"/>
                <w:color w:val="44556A"/>
                <w:sz w:val="18"/>
              </w:rPr>
              <w:t>Someone to finally act on her churn analysis, which has been right for two years</w:t>
            </w:r>
          </w:p>
        </w:tc>
        <w:tc>
          <w:tcPr>
            <w:tcW w:type="dxa" w:w="1560"/>
            <w:shd w:val="clear" w:color="auto" w:fill="F0F5FA"/>
          </w:tcPr>
          <w:p>
            <w:r/>
            <w:r>
              <w:rPr>
                <w:rFonts w:ascii="Calibri" w:hAnsi="Calibri"/>
                <w:b w:val="0"/>
                <w:i w:val="0"/>
                <w:color w:val="44556A"/>
                <w:sz w:val="18"/>
              </w:rPr>
              <w:t>Institutional memory of every account loss. Her "onboarding problem" data is more honest than the house narrative. Low political rank, high truth density.</w:t>
            </w:r>
          </w:p>
        </w:tc>
        <w:tc>
          <w:tcPr>
            <w:tcW w:type="dxa" w:w="1560"/>
            <w:shd w:val="clear" w:color="auto" w:fill="F0F5FA"/>
          </w:tcPr>
          <w:p>
            <w:r/>
            <w:r>
              <w:rPr>
                <w:rFonts w:ascii="Calibri" w:hAnsi="Calibri"/>
                <w:b w:val="0"/>
                <w:i w:val="0"/>
                <w:color w:val="44556A"/>
                <w:sz w:val="18"/>
              </w:rPr>
              <w:t>Monthly skip-level, permanently. Her analysis feeds Pass 1 of the audit. Protect her candor — never quote her into a fight above her pay grade.</w:t>
            </w:r>
          </w:p>
        </w:tc>
      </w:tr>
      <w:tr>
        <w:tc>
          <w:tcPr>
            <w:tcW w:type="dxa" w:w="1560"/>
            <w:shd w:val="clear" w:color="auto" w:fill="FFFFFF"/>
          </w:tcPr>
          <w:p>
            <w:r/>
            <w:r>
              <w:rPr>
                <w:rFonts w:ascii="Calibri" w:hAnsi="Calibri"/>
                <w:b/>
                <w:i w:val="0"/>
                <w:color w:val="44556A"/>
                <w:sz w:val="18"/>
              </w:rPr>
              <w:t>Rob Feld</w:t>
            </w:r>
          </w:p>
        </w:tc>
        <w:tc>
          <w:tcPr>
            <w:tcW w:type="dxa" w:w="1560"/>
            <w:shd w:val="clear" w:color="auto" w:fill="FFFFFF"/>
          </w:tcPr>
          <w:p>
            <w:r/>
            <w:r>
              <w:rPr>
                <w:rFonts w:ascii="Calibri" w:hAnsi="Calibri"/>
                <w:b w:val="0"/>
                <w:i w:val="0"/>
                <w:color w:val="44556A"/>
                <w:sz w:val="18"/>
              </w:rPr>
              <w:t>VP Engineering, Central Platform (dotted line)</w:t>
            </w:r>
          </w:p>
        </w:tc>
        <w:tc>
          <w:tcPr>
            <w:tcW w:type="dxa" w:w="1560"/>
            <w:shd w:val="clear" w:color="auto" w:fill="FFFFFF"/>
          </w:tcPr>
          <w:p>
            <w:r/>
            <w:r>
              <w:rPr>
                <w:rFonts w:ascii="Calibri" w:hAnsi="Calibri"/>
                <w:b/>
                <w:i w:val="0"/>
                <w:color w:val="44556A"/>
                <w:sz w:val="18"/>
              </w:rPr>
              <w:t>Landmine</w:t>
            </w:r>
          </w:p>
        </w:tc>
        <w:tc>
          <w:tcPr>
            <w:tcW w:type="dxa" w:w="1560"/>
            <w:shd w:val="clear" w:color="auto" w:fill="FFFFFF"/>
          </w:tcPr>
          <w:p>
            <w:r/>
            <w:r>
              <w:rPr>
                <w:rFonts w:ascii="Calibri" w:hAnsi="Calibri"/>
                <w:b w:val="0"/>
                <w:i w:val="0"/>
                <w:color w:val="44556A"/>
                <w:sz w:val="18"/>
              </w:rPr>
              <w:t>Keep Atlas paying 40% of platform costs under the legacy allocation; expand platform scope</w:t>
            </w:r>
          </w:p>
        </w:tc>
        <w:tc>
          <w:tcPr>
            <w:tcW w:type="dxa" w:w="1560"/>
            <w:shd w:val="clear" w:color="auto" w:fill="FFFFFF"/>
          </w:tcPr>
          <w:p>
            <w:r/>
            <w:r>
              <w:rPr>
                <w:rFonts w:ascii="Calibri" w:hAnsi="Calibri"/>
                <w:b w:val="0"/>
                <w:i w:val="0"/>
                <w:color w:val="44556A"/>
                <w:sz w:val="18"/>
              </w:rPr>
              <w:t>Doesn't report to me, controls half my cost base, allergic to allocation questions. Close to the CTO. Killed the last GM's allocation review via the CTO in one email.</w:t>
            </w:r>
          </w:p>
        </w:tc>
        <w:tc>
          <w:tcPr>
            <w:tcW w:type="dxa" w:w="1560"/>
            <w:shd w:val="clear" w:color="auto" w:fill="FFFFFF"/>
          </w:tcPr>
          <w:p>
            <w:r/>
            <w:r>
              <w:rPr>
                <w:rFonts w:ascii="Calibri" w:hAnsi="Calibri"/>
                <w:b w:val="0"/>
                <w:i w:val="0"/>
                <w:color w:val="44556A"/>
                <w:sz w:val="18"/>
              </w:rPr>
              <w:t xml:space="preserve">Never fight him alone or first. Build the usage data quietly with Marcus, pre-brief Dana, and raise it as a </w:t>
            </w:r>
            <w:r>
              <w:rPr>
                <w:rFonts w:ascii="Calibri" w:hAnsi="Calibri"/>
                <w:b w:val="0"/>
                <w:i/>
                <w:color w:val="44556A"/>
                <w:sz w:val="18"/>
              </w:rPr>
              <w:t>methodology</w:t>
            </w:r>
            <w:r>
              <w:rPr>
                <w:rFonts w:ascii="Calibri" w:hAnsi="Calibri"/>
                <w:b w:val="0"/>
                <w:i w:val="0"/>
                <w:color w:val="44556A"/>
                <w:sz w:val="18"/>
              </w:rPr>
              <w:t xml:space="preserve"> question in the annual planning cycle — the one venue where he can't kill it unilaterally.</w:t>
            </w:r>
          </w:p>
        </w:tc>
      </w:tr>
      <w:tr>
        <w:tc>
          <w:tcPr>
            <w:tcW w:type="dxa" w:w="1560"/>
            <w:shd w:val="clear" w:color="auto" w:fill="F0F5FA"/>
          </w:tcPr>
          <w:p>
            <w:r/>
            <w:r>
              <w:rPr>
                <w:rFonts w:ascii="Calibri" w:hAnsi="Calibri"/>
                <w:b/>
                <w:i w:val="0"/>
                <w:color w:val="44556A"/>
                <w:sz w:val="18"/>
              </w:rPr>
              <w:t>Sofia Marchetti</w:t>
            </w:r>
          </w:p>
        </w:tc>
        <w:tc>
          <w:tcPr>
            <w:tcW w:type="dxa" w:w="1560"/>
            <w:shd w:val="clear" w:color="auto" w:fill="F0F5FA"/>
          </w:tcPr>
          <w:p>
            <w:r/>
            <w:r>
              <w:rPr>
                <w:rFonts w:ascii="Calibri" w:hAnsi="Calibri"/>
                <w:b w:val="0"/>
                <w:i w:val="0"/>
                <w:color w:val="44556A"/>
                <w:sz w:val="18"/>
              </w:rPr>
              <w:t>Chief of Staff to the CEO</w:t>
            </w:r>
          </w:p>
        </w:tc>
        <w:tc>
          <w:tcPr>
            <w:tcW w:type="dxa" w:w="1560"/>
            <w:shd w:val="clear" w:color="auto" w:fill="F0F5FA"/>
          </w:tcPr>
          <w:p>
            <w:r/>
            <w:r>
              <w:rPr>
                <w:rFonts w:ascii="Calibri" w:hAnsi="Calibri"/>
                <w:b/>
                <w:i w:val="0"/>
                <w:color w:val="44556A"/>
                <w:sz w:val="18"/>
              </w:rPr>
              <w:t>Landmine (friendly variety)</w:t>
            </w:r>
          </w:p>
        </w:tc>
        <w:tc>
          <w:tcPr>
            <w:tcW w:type="dxa" w:w="1560"/>
            <w:shd w:val="clear" w:color="auto" w:fill="F0F5FA"/>
          </w:tcPr>
          <w:p>
            <w:r/>
            <w:r>
              <w:rPr>
                <w:rFonts w:ascii="Calibri" w:hAnsi="Calibri"/>
                <w:b w:val="0"/>
                <w:i w:val="0"/>
                <w:color w:val="44556A"/>
                <w:sz w:val="18"/>
              </w:rPr>
              <w:t>Information. Early, unfiltered, constant.</w:t>
            </w:r>
          </w:p>
        </w:tc>
        <w:tc>
          <w:tcPr>
            <w:tcW w:type="dxa" w:w="1560"/>
            <w:shd w:val="clear" w:color="auto" w:fill="F0F5FA"/>
          </w:tcPr>
          <w:p>
            <w:r/>
            <w:r>
              <w:rPr>
                <w:rFonts w:ascii="Calibri" w:hAnsi="Calibri"/>
                <w:b w:val="0"/>
                <w:i w:val="0"/>
                <w:color w:val="44556A"/>
                <w:sz w:val="18"/>
              </w:rPr>
              <w:t>Warm, helpful, and every casual chat is an intelligence channel to the CEO. Not malicious — just her job.</w:t>
            </w:r>
          </w:p>
        </w:tc>
        <w:tc>
          <w:tcPr>
            <w:tcW w:type="dxa" w:w="1560"/>
            <w:shd w:val="clear" w:color="auto" w:fill="F0F5FA"/>
          </w:tcPr>
          <w:p>
            <w:r/>
            <w:r>
              <w:rPr>
                <w:rFonts w:ascii="Calibri" w:hAnsi="Calibri"/>
                <w:b w:val="0"/>
                <w:i w:val="0"/>
                <w:color w:val="44556A"/>
                <w:sz w:val="18"/>
              </w:rPr>
              <w:t xml:space="preserve">Treat every conversation as on-the-record to the CEO, because it is. Use the channel deliberately: give her the </w:t>
            </w:r>
            <w:r>
              <w:rPr>
                <w:rFonts w:ascii="Calibri" w:hAnsi="Calibri"/>
                <w:b w:val="0"/>
                <w:i/>
                <w:color w:val="44556A"/>
                <w:sz w:val="18"/>
              </w:rPr>
              <w:t>accurate</w:t>
            </w:r>
            <w:r>
              <w:rPr>
                <w:rFonts w:ascii="Calibri" w:hAnsi="Calibri"/>
                <w:b w:val="0"/>
                <w:i w:val="0"/>
                <w:color w:val="44556A"/>
                <w:sz w:val="18"/>
              </w:rPr>
              <w:t xml:space="preserve"> version of Atlas's story before anyone gives her a distorted one.</w:t>
            </w:r>
          </w:p>
        </w:tc>
      </w:tr>
      <w:tr>
        <w:tc>
          <w:tcPr>
            <w:tcW w:type="dxa" w:w="1560"/>
            <w:shd w:val="clear" w:color="auto" w:fill="FFFFFF"/>
          </w:tcPr>
          <w:p>
            <w:r/>
            <w:r>
              <w:rPr>
                <w:rFonts w:ascii="Calibri" w:hAnsi="Calibri"/>
                <w:b/>
                <w:i w:val="0"/>
                <w:color w:val="44556A"/>
                <w:sz w:val="18"/>
              </w:rPr>
              <w:t>The previous GM's loyalists</w:t>
            </w:r>
          </w:p>
        </w:tc>
        <w:tc>
          <w:tcPr>
            <w:tcW w:type="dxa" w:w="1560"/>
            <w:shd w:val="clear" w:color="auto" w:fill="FFFFFF"/>
          </w:tcPr>
          <w:p>
            <w:r/>
            <w:r>
              <w:rPr>
                <w:rFonts w:ascii="Calibri" w:hAnsi="Calibri"/>
                <w:b w:val="0"/>
                <w:i w:val="0"/>
                <w:color w:val="44556A"/>
                <w:sz w:val="18"/>
              </w:rPr>
              <w:t>~4 directors, various</w:t>
            </w:r>
          </w:p>
        </w:tc>
        <w:tc>
          <w:tcPr>
            <w:tcW w:type="dxa" w:w="1560"/>
            <w:shd w:val="clear" w:color="auto" w:fill="FFFFFF"/>
          </w:tcPr>
          <w:p>
            <w:r/>
            <w:r>
              <w:rPr>
                <w:rFonts w:ascii="Calibri" w:hAnsi="Calibri"/>
                <w:b/>
                <w:i w:val="0"/>
                <w:color w:val="44556A"/>
                <w:sz w:val="18"/>
              </w:rPr>
              <w:t>Neutral (grieving)</w:t>
            </w:r>
          </w:p>
        </w:tc>
        <w:tc>
          <w:tcPr>
            <w:tcW w:type="dxa" w:w="1560"/>
            <w:shd w:val="clear" w:color="auto" w:fill="FFFFFF"/>
          </w:tcPr>
          <w:p>
            <w:r/>
            <w:r>
              <w:rPr>
                <w:rFonts w:ascii="Calibri" w:hAnsi="Calibri"/>
                <w:b w:val="0"/>
                <w:i w:val="0"/>
                <w:color w:val="44556A"/>
                <w:sz w:val="18"/>
              </w:rPr>
              <w:t>Evidence that their last three years weren't a mistake</w:t>
            </w:r>
          </w:p>
        </w:tc>
        <w:tc>
          <w:tcPr>
            <w:tcW w:type="dxa" w:w="1560"/>
            <w:shd w:val="clear" w:color="auto" w:fill="FFFFFF"/>
          </w:tcPr>
          <w:p>
            <w:r/>
            <w:r>
              <w:rPr>
                <w:rFonts w:ascii="Calibri" w:hAnsi="Calibri"/>
                <w:b w:val="0"/>
                <w:i w:val="0"/>
                <w:color w:val="44556A"/>
                <w:sz w:val="18"/>
              </w:rPr>
              <w:t>Defensive when the old strategy is questioned; genuinely competent; waiting to see if "new GM" means "everything we built was wrong."</w:t>
            </w:r>
          </w:p>
        </w:tc>
        <w:tc>
          <w:tcPr>
            <w:tcW w:type="dxa" w:w="1560"/>
            <w:shd w:val="clear" w:color="auto" w:fill="FFFFFF"/>
          </w:tcPr>
          <w:p>
            <w:r/>
            <w:r>
              <w:rPr>
                <w:rFonts w:ascii="Calibri" w:hAnsi="Calibri"/>
                <w:b w:val="0"/>
                <w:i w:val="0"/>
                <w:color w:val="44556A"/>
                <w:sz w:val="18"/>
              </w:rPr>
              <w:t xml:space="preserve">Publicly credit what the audit confirms </w:t>
            </w:r>
            <w:r>
              <w:rPr>
                <w:rFonts w:ascii="Calibri" w:hAnsi="Calibri"/>
                <w:b w:val="0"/>
                <w:i/>
                <w:color w:val="44556A"/>
                <w:sz w:val="18"/>
              </w:rPr>
              <w:t>is</w:t>
            </w:r>
            <w:r>
              <w:rPr>
                <w:rFonts w:ascii="Calibri" w:hAnsi="Calibri"/>
                <w:b w:val="0"/>
                <w:i w:val="0"/>
                <w:color w:val="44556A"/>
                <w:sz w:val="18"/>
              </w:rPr>
              <w:t xml:space="preserve"> working — early and specifically. Convert don't purge. The ones who convert become the strongest allies on the map by month six.</w:t>
            </w:r>
          </w:p>
        </w:tc>
      </w:tr>
    </w:tbl>
    <w:p>
      <w:pPr>
        <w:spacing w:after="120"/>
      </w:pPr>
    </w:p>
    <w:p>
      <w:pPr>
        <w:spacing w:before="0" w:after="140" w:lineRule="auto" w:line="276"/>
        <w:jc w:val="left"/>
      </w:pPr>
      <w:r>
        <w:rPr>
          <w:rFonts w:ascii="Calibri" w:hAnsi="Calibri"/>
          <w:b/>
          <w:i w:val="0"/>
          <w:color w:val="44556A"/>
          <w:sz w:val="22"/>
        </w:rPr>
        <w:t>How to read your own map once it's built:</w:t>
      </w:r>
      <w:r>
        <w:rPr>
          <w:rFonts w:ascii="Calibri" w:hAnsi="Calibri"/>
          <w:b w:val="0"/>
          <w:i w:val="0"/>
          <w:color w:val="44556A"/>
          <w:sz w:val="22"/>
        </w:rPr>
        <w:t xml:space="preserve"> Sponsors get no surprises, ever. Allies get investment and public credit. Neutrals get evidence, not charm — they convert on your first move, not your first coffee. Landmines get respect, preparation, and no solo engagements. And the category that decides your tenure isn't on most maps: the undervalued truth-tellers like Ellen. Every org has two or three. Find them by week three, protect them permanently.</w:t>
      </w:r>
    </w:p>
    <w:p>
      <w:pPr>
        <w:spacing w:before="160" w:after="160"/>
      </w:pPr>
      <w:r>
        <w:rPr>
          <w:rFonts w:ascii="Calibri" w:hAnsi="Calibri"/>
          <w:color w:val="0068B5"/>
          <w:sz w:val="16"/>
        </w:rPr>
        <w:t>────────────────────────────────────────────────────────────────────────────────</w:t>
      </w:r>
    </w:p>
    <w:p>
      <w:pPr>
        <w:spacing w:before="0" w:after="0"/>
      </w:pPr>
      <w:r>
        <w:br w:type="page"/>
      </w:r>
    </w:p>
    <w:p>
      <w:pPr>
        <w:spacing w:before="360" w:after="120"/>
        <w:jc w:val="left"/>
        <w:pBdr>
          <w:bottom w:val="single" w:sz="4" w:space="2" w:color="0068B5"/>
        </w:pBdr>
      </w:pPr>
      <w:r>
        <w:rPr>
          <w:rFonts w:ascii="Calibri" w:hAnsi="Calibri"/>
          <w:b/>
          <w:color w:val="0068B5"/>
          <w:sz w:val="32"/>
        </w:rPr>
        <w:t>The Meeting Audit: Which Recurring Meetings to Kill in Week 2</w:t>
      </w:r>
    </w:p>
    <w:p>
      <w:pPr>
        <w:spacing w:before="0" w:after="140" w:lineRule="auto" w:line="276"/>
        <w:jc w:val="left"/>
      </w:pPr>
      <w:r>
        <w:rPr>
          <w:rFonts w:ascii="Calibri" w:hAnsi="Calibri"/>
          <w:b w:val="0"/>
          <w:i w:val="0"/>
          <w:color w:val="44556A"/>
          <w:sz w:val="22"/>
        </w:rPr>
        <w:t>You inherit a calendar the way you inherit a P&amp;L — full of line items nobody has justified in years. In week two, pull every recurring meeting you own or chair and run each through five questions:</w:t>
      </w:r>
    </w:p>
    <w:p>
      <w:pPr>
        <w:spacing w:before="20" w:after="60"/>
        <w:ind w:left="576" w:hanging="360"/>
        <w:jc w:val="left"/>
      </w:pPr>
      <w:r>
        <w:rPr>
          <w:rFonts w:ascii="Calibri" w:hAnsi="Calibri"/>
          <w:color w:val="0068B5"/>
          <w:sz w:val="22"/>
        </w:rPr>
        <w:t xml:space="preserve">▸  </w:t>
      </w:r>
      <w:r>
        <w:rPr>
          <w:rFonts w:ascii="Calibri" w:hAnsi="Calibri"/>
          <w:b/>
          <w:i w:val="0"/>
          <w:color w:val="44556A"/>
          <w:sz w:val="22"/>
        </w:rPr>
        <w:t>Does a decision ever get made here?</w:t>
      </w:r>
      <w:r>
        <w:rPr>
          <w:rFonts w:ascii="Calibri" w:hAnsi="Calibri"/>
          <w:b w:val="0"/>
          <w:i w:val="0"/>
          <w:color w:val="44556A"/>
          <w:sz w:val="22"/>
        </w:rPr>
        <w:t xml:space="preserve"> If the last four instances produced zero decisions, it's not a meeting, it's a broadcast. Kill it and replace it with the written update it was pretending not to be.</w:t>
      </w:r>
    </w:p>
    <w:p>
      <w:pPr>
        <w:spacing w:before="20" w:after="60"/>
        <w:ind w:left="576" w:hanging="360"/>
        <w:jc w:val="left"/>
      </w:pPr>
      <w:r>
        <w:rPr>
          <w:rFonts w:ascii="Calibri" w:hAnsi="Calibri"/>
          <w:color w:val="0068B5"/>
          <w:sz w:val="22"/>
        </w:rPr>
        <w:t xml:space="preserve">▸  </w:t>
      </w:r>
      <w:r>
        <w:rPr>
          <w:rFonts w:ascii="Calibri" w:hAnsi="Calibri"/>
          <w:b/>
          <w:i w:val="0"/>
          <w:color w:val="44556A"/>
          <w:sz w:val="22"/>
        </w:rPr>
        <w:t>Would anyone rebuild it?</w:t>
      </w:r>
      <w:r>
        <w:rPr>
          <w:rFonts w:ascii="Calibri" w:hAnsi="Calibri"/>
          <w:b w:val="0"/>
          <w:i w:val="0"/>
          <w:color w:val="44556A"/>
          <w:sz w:val="22"/>
        </w:rPr>
        <w:t xml:space="preserve"> The zombie test: cancel it for two weeks and see who asks where it went. Silence is your answer. (Run this test literally — announce a two-week pause on two or three suspects. It's the cheapest experiment in management.)</w:t>
      </w:r>
    </w:p>
    <w:p>
      <w:pPr>
        <w:spacing w:before="20" w:after="60"/>
        <w:ind w:left="576" w:hanging="360"/>
        <w:jc w:val="left"/>
      </w:pPr>
      <w:r>
        <w:rPr>
          <w:rFonts w:ascii="Calibri" w:hAnsi="Calibri"/>
          <w:color w:val="0068B5"/>
          <w:sz w:val="22"/>
        </w:rPr>
        <w:t xml:space="preserve">▸  </w:t>
      </w:r>
      <w:r>
        <w:rPr>
          <w:rFonts w:ascii="Calibri" w:hAnsi="Calibri"/>
          <w:b/>
          <w:i w:val="0"/>
          <w:color w:val="44556A"/>
          <w:sz w:val="22"/>
        </w:rPr>
        <w:t>Is it a status meeting wearing a strategy meeting's name?</w:t>
      </w:r>
      <w:r>
        <w:rPr>
          <w:rFonts w:ascii="Calibri" w:hAnsi="Calibri"/>
          <w:b w:val="0"/>
          <w:i w:val="0"/>
          <w:color w:val="44556A"/>
          <w:sz w:val="22"/>
        </w:rPr>
        <w:t xml:space="preserve"> "Weekly Strategy Sync" where people read out project updates: kill the readout, keep a 25-minute session on the one genuinely open question that surfaced in writing.</w:t>
      </w:r>
    </w:p>
    <w:p>
      <w:pPr>
        <w:spacing w:before="20" w:after="60"/>
        <w:ind w:left="576" w:hanging="360"/>
        <w:jc w:val="left"/>
      </w:pPr>
      <w:r>
        <w:rPr>
          <w:rFonts w:ascii="Calibri" w:hAnsi="Calibri"/>
          <w:color w:val="0068B5"/>
          <w:sz w:val="22"/>
        </w:rPr>
        <w:t xml:space="preserve">▸  </w:t>
      </w:r>
      <w:r>
        <w:rPr>
          <w:rFonts w:ascii="Calibri" w:hAnsi="Calibri"/>
          <w:b/>
          <w:i w:val="0"/>
          <w:color w:val="44556A"/>
          <w:sz w:val="22"/>
        </w:rPr>
        <w:t>Does it exist because two people won't talk directly?</w:t>
      </w:r>
      <w:r>
        <w:rPr>
          <w:rFonts w:ascii="Calibri" w:hAnsi="Calibri"/>
          <w:b w:val="0"/>
          <w:i w:val="0"/>
          <w:color w:val="44556A"/>
          <w:sz w:val="22"/>
        </w:rPr>
        <w:t xml:space="preserve"> Some recurring meetings are load-bearing workarounds for a broken relationship — eight people convene weekly so two VPs never have to have a real conversation. Kill the meeting </w:t>
      </w:r>
      <w:r>
        <w:rPr>
          <w:rFonts w:ascii="Calibri" w:hAnsi="Calibri"/>
          <w:b w:val="0"/>
          <w:i/>
          <w:color w:val="44556A"/>
          <w:sz w:val="22"/>
        </w:rPr>
        <w:t>and</w:t>
      </w:r>
      <w:r>
        <w:rPr>
          <w:rFonts w:ascii="Calibri" w:hAnsi="Calibri"/>
          <w:b w:val="0"/>
          <w:i w:val="0"/>
          <w:color w:val="44556A"/>
          <w:sz w:val="22"/>
        </w:rPr>
        <w:t xml:space="preserve"> name the underlying issue to the two people privately, or it reconvenes under a new name within a month.</w:t>
      </w:r>
    </w:p>
    <w:p>
      <w:pPr>
        <w:spacing w:before="20" w:after="60"/>
        <w:ind w:left="576" w:hanging="360"/>
        <w:jc w:val="left"/>
      </w:pPr>
      <w:r>
        <w:rPr>
          <w:rFonts w:ascii="Calibri" w:hAnsi="Calibri"/>
          <w:color w:val="0068B5"/>
          <w:sz w:val="22"/>
        </w:rPr>
        <w:t xml:space="preserve">▸  </w:t>
      </w:r>
      <w:r>
        <w:rPr>
          <w:rFonts w:ascii="Calibri" w:hAnsi="Calibri"/>
          <w:b/>
          <w:i w:val="0"/>
          <w:color w:val="44556A"/>
          <w:sz w:val="22"/>
        </w:rPr>
        <w:t>Is it the previous GM's control mechanism?</w:t>
      </w:r>
      <w:r>
        <w:rPr>
          <w:rFonts w:ascii="Calibri" w:hAnsi="Calibri"/>
          <w:b w:val="0"/>
          <w:i w:val="0"/>
          <w:color w:val="44556A"/>
          <w:sz w:val="22"/>
        </w:rPr>
        <w:t xml:space="preserve"> Daily check-ins and heavyweight review boards often exist because your predecessor didn't trust someone who's since left, or didn't trust anyone at all. Their trust deficits are not your inheritance.</w:t>
      </w:r>
    </w:p>
    <w:p>
      <w:pPr>
        <w:spacing w:before="0" w:after="140" w:lineRule="auto" w:line="276"/>
        <w:jc w:val="left"/>
      </w:pPr>
      <w:r>
        <w:rPr>
          <w:rFonts w:ascii="Calibri" w:hAnsi="Calibri"/>
          <w:b w:val="0"/>
          <w:i w:val="0"/>
          <w:color w:val="44556A"/>
          <w:sz w:val="22"/>
        </w:rPr>
        <w:t>The standard kill list in a new GM's first audit: the Monday all-hands-of-leads readout (becomes a written Friday update), the pre-meeting for the QBR (if the QBR needs a rehearsal, fix the QBR), at least one "sync" between functions that should just share a dashboard, and the previous GM's pet review board.</w:t>
      </w:r>
    </w:p>
    <w:p>
      <w:pPr>
        <w:spacing w:before="0" w:after="140" w:lineRule="auto" w:line="276"/>
        <w:jc w:val="left"/>
      </w:pPr>
      <w:r>
        <w:rPr>
          <w:rFonts w:ascii="Calibri" w:hAnsi="Calibri"/>
          <w:b w:val="0"/>
          <w:i w:val="0"/>
          <w:color w:val="44556A"/>
          <w:sz w:val="22"/>
        </w:rPr>
        <w:t xml:space="preserve">What you </w:t>
      </w:r>
      <w:r>
        <w:rPr>
          <w:rFonts w:ascii="Calibri" w:hAnsi="Calibri"/>
          <w:b w:val="0"/>
          <w:i/>
          <w:color w:val="44556A"/>
          <w:sz w:val="22"/>
        </w:rPr>
        <w:t>keep</w:t>
      </w:r>
      <w:r>
        <w:rPr>
          <w:rFonts w:ascii="Calibri" w:hAnsi="Calibri"/>
          <w:b w:val="0"/>
          <w:i w:val="0"/>
          <w:color w:val="44556A"/>
          <w:sz w:val="22"/>
        </w:rPr>
        <w:t xml:space="preserve"> — and visibly upgrade: one weekly staff meeting rebuilt around decisions (written pre-reads, agenda is only open questions, anything resolvable in writing is banned from the room), your 1:1s, and one monthly business review where the real numbers get looked at hard.</w:t>
      </w:r>
    </w:p>
    <w:p>
      <w:pPr>
        <w:spacing w:before="0" w:after="140" w:lineRule="auto" w:line="276"/>
        <w:jc w:val="left"/>
      </w:pPr>
      <w:r>
        <w:rPr>
          <w:rFonts w:ascii="Calibri" w:hAnsi="Calibri"/>
          <w:b w:val="0"/>
          <w:i w:val="0"/>
          <w:color w:val="44556A"/>
          <w:sz w:val="22"/>
        </w:rPr>
        <w:t>Then do the arithmetic in public: "This audit returned 22 hours a week to this leadership team." Killing meetings in week two is, quietly, a perfect miniature of your first real move — a subtraction, grounded in evidence, that costs you a bit of control and pays everyone else. The org notices. It's meant to.</w:t>
      </w:r>
    </w:p>
    <w:p>
      <w:pPr>
        <w:spacing w:before="160" w:after="160"/>
      </w:pPr>
      <w:r>
        <w:rPr>
          <w:rFonts w:ascii="Calibri" w:hAnsi="Calibri"/>
          <w:color w:val="0068B5"/>
          <w:sz w:val="16"/>
        </w:rPr>
        <w:t>────────────────────────────────────────────────────────────────────────────────</w:t>
      </w:r>
    </w:p>
    <w:p>
      <w:pPr>
        <w:spacing w:before="0" w:after="0"/>
      </w:pPr>
      <w:r>
        <w:br w:type="page"/>
      </w:r>
    </w:p>
    <w:p>
      <w:pPr>
        <w:spacing w:before="360" w:after="120"/>
        <w:jc w:val="left"/>
        <w:pBdr>
          <w:bottom w:val="single" w:sz="4" w:space="2" w:color="0068B5"/>
        </w:pBdr>
      </w:pPr>
      <w:r>
        <w:rPr>
          <w:rFonts w:ascii="Calibri" w:hAnsi="Calibri"/>
          <w:b/>
          <w:color w:val="0068B5"/>
          <w:sz w:val="32"/>
        </w:rPr>
        <w:t>The First 90-Day Dashboard: What to Track vs. What to Ignore</w:t>
      </w:r>
    </w:p>
    <w:p>
      <w:pPr>
        <w:spacing w:before="0" w:after="140" w:lineRule="auto" w:line="276"/>
        <w:jc w:val="left"/>
      </w:pPr>
      <w:r>
        <w:rPr>
          <w:rFonts w:ascii="Calibri" w:hAnsi="Calibri"/>
          <w:b w:val="0"/>
          <w:i w:val="0"/>
          <w:color w:val="44556A"/>
          <w:sz w:val="22"/>
        </w:rPr>
        <w:t>New GMs drown in dashboards built by predecessors to answer questions nobody's asking anymore. For your first quarter, you need exactly one page. Two columns.</w:t>
      </w:r>
    </w:p>
    <w:p>
      <w:pPr>
        <w:spacing w:before="0" w:after="140" w:lineRule="auto" w:line="276"/>
        <w:jc w:val="left"/>
      </w:pPr>
      <w:r>
        <w:rPr>
          <w:rFonts w:ascii="Calibri" w:hAnsi="Calibri"/>
          <w:b/>
          <w:i w:val="0"/>
          <w:color w:val="44556A"/>
          <w:sz w:val="22"/>
        </w:rPr>
        <w:t>Track — the ramp dashboard:</w:t>
      </w:r>
    </w:p>
    <w:p>
      <w:pPr>
        <w:spacing w:before="20" w:after="60"/>
        <w:ind w:left="576" w:hanging="360"/>
        <w:jc w:val="left"/>
      </w:pPr>
      <w:r>
        <w:rPr>
          <w:rFonts w:ascii="Calibri" w:hAnsi="Calibri"/>
          <w:color w:val="0068B5"/>
          <w:sz w:val="22"/>
        </w:rPr>
        <w:t xml:space="preserve">▸  </w:t>
      </w:r>
      <w:r>
        <w:rPr>
          <w:rFonts w:ascii="Calibri" w:hAnsi="Calibri"/>
          <w:b/>
          <w:i w:val="0"/>
          <w:color w:val="44556A"/>
          <w:sz w:val="22"/>
        </w:rPr>
        <w:t>Top-10 account health.</w:t>
      </w:r>
      <w:r>
        <w:rPr>
          <w:rFonts w:ascii="Calibri" w:hAnsi="Calibri"/>
          <w:b w:val="0"/>
          <w:i w:val="0"/>
          <w:color w:val="44556A"/>
          <w:sz w:val="22"/>
        </w:rPr>
        <w:t xml:space="preserve"> Revenue concentration means these accounts </w:t>
      </w:r>
      <w:r>
        <w:rPr>
          <w:rFonts w:ascii="Calibri" w:hAnsi="Calibri"/>
          <w:b w:val="0"/>
          <w:i/>
          <w:color w:val="44556A"/>
          <w:sz w:val="22"/>
        </w:rPr>
        <w:t>are</w:t>
      </w:r>
      <w:r>
        <w:rPr>
          <w:rFonts w:ascii="Calibri" w:hAnsi="Calibri"/>
          <w:b w:val="0"/>
          <w:i w:val="0"/>
          <w:color w:val="44556A"/>
          <w:sz w:val="22"/>
        </w:rPr>
        <w:t xml:space="preserve"> the business. Renewal dates, usage trend, one-line status each. Reviewed weekly, personally.</w:t>
      </w:r>
    </w:p>
    <w:p>
      <w:pPr>
        <w:spacing w:before="20" w:after="60"/>
        <w:ind w:left="576" w:hanging="360"/>
        <w:jc w:val="left"/>
      </w:pPr>
      <w:r>
        <w:rPr>
          <w:rFonts w:ascii="Calibri" w:hAnsi="Calibri"/>
          <w:color w:val="0068B5"/>
          <w:sz w:val="22"/>
        </w:rPr>
        <w:t xml:space="preserve">▸  </w:t>
      </w:r>
      <w:r>
        <w:rPr>
          <w:rFonts w:ascii="Calibri" w:hAnsi="Calibri"/>
          <w:b/>
          <w:i w:val="0"/>
          <w:color w:val="44556A"/>
          <w:sz w:val="22"/>
        </w:rPr>
        <w:t>Cash-truth metrics, not narrative metrics.</w:t>
      </w:r>
      <w:r>
        <w:rPr>
          <w:rFonts w:ascii="Calibri" w:hAnsi="Calibri"/>
          <w:b w:val="0"/>
          <w:i w:val="0"/>
          <w:color w:val="44556A"/>
          <w:sz w:val="22"/>
        </w:rPr>
        <w:t xml:space="preserve"> Bookings </w:t>
      </w:r>
      <w:r>
        <w:rPr>
          <w:rFonts w:ascii="Calibri" w:hAnsi="Calibri"/>
          <w:b w:val="0"/>
          <w:i/>
          <w:color w:val="44556A"/>
          <w:sz w:val="22"/>
        </w:rPr>
        <w:t>and</w:t>
      </w:r>
      <w:r>
        <w:rPr>
          <w:rFonts w:ascii="Calibri" w:hAnsi="Calibri"/>
          <w:b w:val="0"/>
          <w:i w:val="0"/>
          <w:color w:val="44556A"/>
          <w:sz w:val="22"/>
        </w:rPr>
        <w:t xml:space="preserve"> billings </w:t>
      </w:r>
      <w:r>
        <w:rPr>
          <w:rFonts w:ascii="Calibri" w:hAnsi="Calibri"/>
          <w:b w:val="0"/>
          <w:i/>
          <w:color w:val="44556A"/>
          <w:sz w:val="22"/>
        </w:rPr>
        <w:t>and</w:t>
      </w:r>
      <w:r>
        <w:rPr>
          <w:rFonts w:ascii="Calibri" w:hAnsi="Calibri"/>
          <w:b w:val="0"/>
          <w:i w:val="0"/>
          <w:color w:val="44556A"/>
          <w:sz w:val="22"/>
        </w:rPr>
        <w:t xml:space="preserve"> collections; churn in dollars, not logos; gross margin by product line under your rebuilt allocation, not the inherited one.</w:t>
      </w:r>
    </w:p>
    <w:p>
      <w:pPr>
        <w:spacing w:before="20" w:after="60"/>
        <w:ind w:left="576" w:hanging="360"/>
        <w:jc w:val="left"/>
      </w:pPr>
      <w:r>
        <w:rPr>
          <w:rFonts w:ascii="Calibri" w:hAnsi="Calibri"/>
          <w:color w:val="0068B5"/>
          <w:sz w:val="22"/>
        </w:rPr>
        <w:t xml:space="preserve">▸  </w:t>
      </w:r>
      <w:r>
        <w:rPr>
          <w:rFonts w:ascii="Calibri" w:hAnsi="Calibri"/>
          <w:b/>
          <w:i w:val="0"/>
          <w:color w:val="44556A"/>
          <w:sz w:val="22"/>
        </w:rPr>
        <w:t>The deferred-pain list, with dates.</w:t>
      </w:r>
      <w:r>
        <w:rPr>
          <w:rFonts w:ascii="Calibri" w:hAnsi="Calibri"/>
          <w:b w:val="0"/>
          <w:i w:val="0"/>
          <w:color w:val="44556A"/>
          <w:sz w:val="22"/>
        </w:rPr>
        <w:t xml:space="preserve"> Every borrowed-from-the-future item from your audit, its estimated cost, and the quarter it lands. This list on your dashboard is your insurance policy and your honesty signal in one artifact.</w:t>
      </w:r>
    </w:p>
    <w:p>
      <w:pPr>
        <w:spacing w:before="20" w:after="60"/>
        <w:ind w:left="576" w:hanging="360"/>
        <w:jc w:val="left"/>
      </w:pPr>
      <w:r>
        <w:rPr>
          <w:rFonts w:ascii="Calibri" w:hAnsi="Calibri"/>
          <w:color w:val="0068B5"/>
          <w:sz w:val="22"/>
        </w:rPr>
        <w:t xml:space="preserve">▸  </w:t>
      </w:r>
      <w:r>
        <w:rPr>
          <w:rFonts w:ascii="Calibri" w:hAnsi="Calibri"/>
          <w:b/>
          <w:i w:val="0"/>
          <w:color w:val="44556A"/>
          <w:sz w:val="22"/>
        </w:rPr>
        <w:t>Your first move's scoreboard.</w:t>
      </w:r>
      <w:r>
        <w:rPr>
          <w:rFonts w:ascii="Calibri" w:hAnsi="Calibri"/>
          <w:b w:val="0"/>
          <w:i w:val="0"/>
          <w:color w:val="44556A"/>
          <w:sz w:val="22"/>
        </w:rPr>
        <w:t xml:space="preserve"> The two or three numbers that prove your day-61 move is working or isn't. Public, on the same page as everything else.</w:t>
      </w:r>
    </w:p>
    <w:p>
      <w:pPr>
        <w:spacing w:before="20" w:after="60"/>
        <w:ind w:left="576" w:hanging="360"/>
        <w:jc w:val="left"/>
      </w:pPr>
      <w:r>
        <w:rPr>
          <w:rFonts w:ascii="Calibri" w:hAnsi="Calibri"/>
          <w:color w:val="0068B5"/>
          <w:sz w:val="22"/>
        </w:rPr>
        <w:t xml:space="preserve">▸  </w:t>
      </w:r>
      <w:r>
        <w:rPr>
          <w:rFonts w:ascii="Calibri" w:hAnsi="Calibri"/>
          <w:b/>
          <w:i w:val="0"/>
          <w:color w:val="44556A"/>
          <w:sz w:val="22"/>
        </w:rPr>
        <w:t>Forecast accuracy.</w:t>
      </w:r>
      <w:r>
        <w:rPr>
          <w:rFonts w:ascii="Calibri" w:hAnsi="Calibri"/>
          <w:b w:val="0"/>
          <w:i w:val="0"/>
          <w:color w:val="44556A"/>
          <w:sz w:val="22"/>
        </w:rPr>
        <w:t xml:space="preserve"> Not the forecast — the forecast's </w:t>
      </w:r>
      <w:r>
        <w:rPr>
          <w:rFonts w:ascii="Calibri" w:hAnsi="Calibri"/>
          <w:b w:val="0"/>
          <w:i/>
          <w:color w:val="44556A"/>
          <w:sz w:val="22"/>
        </w:rPr>
        <w:t>error</w:t>
      </w:r>
      <w:r>
        <w:rPr>
          <w:rFonts w:ascii="Calibri" w:hAnsi="Calibri"/>
          <w:b w:val="0"/>
          <w:i w:val="0"/>
          <w:color w:val="44556A"/>
          <w:sz w:val="22"/>
        </w:rPr>
        <w:t>, trailing four quarters, by team. Tells you whose numbers to trust in every meeting for the rest of your tenure.</w:t>
      </w:r>
    </w:p>
    <w:p>
      <w:pPr>
        <w:spacing w:before="20" w:after="60"/>
        <w:ind w:left="576" w:hanging="360"/>
        <w:jc w:val="left"/>
      </w:pPr>
      <w:r>
        <w:rPr>
          <w:rFonts w:ascii="Calibri" w:hAnsi="Calibri"/>
          <w:color w:val="0068B5"/>
          <w:sz w:val="22"/>
        </w:rPr>
        <w:t xml:space="preserve">▸  </w:t>
      </w:r>
      <w:r>
        <w:rPr>
          <w:rFonts w:ascii="Calibri" w:hAnsi="Calibri"/>
          <w:b/>
          <w:i w:val="0"/>
          <w:color w:val="44556A"/>
          <w:sz w:val="22"/>
        </w:rPr>
        <w:t>One leading people-signal.</w:t>
      </w:r>
      <w:r>
        <w:rPr>
          <w:rFonts w:ascii="Calibri" w:hAnsi="Calibri"/>
          <w:b w:val="0"/>
          <w:i w:val="0"/>
          <w:color w:val="44556A"/>
          <w:sz w:val="22"/>
        </w:rPr>
        <w:t xml:space="preserve"> Regrettable attrition and open-role aging. An org bleeding its best people mid-transition needs you to see it in week six, not in the annual survey.</w:t>
      </w:r>
    </w:p>
    <w:p>
      <w:pPr>
        <w:spacing w:before="0" w:after="140" w:lineRule="auto" w:line="276"/>
        <w:jc w:val="left"/>
      </w:pPr>
      <w:r>
        <w:rPr>
          <w:rFonts w:ascii="Calibri" w:hAnsi="Calibri"/>
          <w:b/>
          <w:i w:val="0"/>
          <w:color w:val="44556A"/>
          <w:sz w:val="22"/>
        </w:rPr>
        <w:t>Ignore — for ninety days:</w:t>
      </w:r>
    </w:p>
    <w:p>
      <w:pPr>
        <w:spacing w:before="20" w:after="60"/>
        <w:ind w:left="576" w:hanging="360"/>
        <w:jc w:val="left"/>
      </w:pPr>
      <w:r>
        <w:rPr>
          <w:rFonts w:ascii="Calibri" w:hAnsi="Calibri"/>
          <w:color w:val="0068B5"/>
          <w:sz w:val="22"/>
        </w:rPr>
        <w:t xml:space="preserve">▸  </w:t>
      </w:r>
      <w:r>
        <w:rPr>
          <w:rFonts w:ascii="Calibri" w:hAnsi="Calibri"/>
          <w:b/>
          <w:i w:val="0"/>
          <w:color w:val="44556A"/>
          <w:sz w:val="22"/>
        </w:rPr>
        <w:t>Vanity aggregates.</w:t>
      </w:r>
      <w:r>
        <w:rPr>
          <w:rFonts w:ascii="Calibri" w:hAnsi="Calibri"/>
          <w:b w:val="0"/>
          <w:i w:val="0"/>
          <w:color w:val="44556A"/>
          <w:sz w:val="22"/>
        </w:rPr>
        <w:t xml:space="preserve"> Blended NPS, total logo counts, "pipeline generated" without stage-weighting. Averages were the thing the audit taught you not to trust.</w:t>
      </w:r>
    </w:p>
    <w:p>
      <w:pPr>
        <w:spacing w:before="20" w:after="60"/>
        <w:ind w:left="576" w:hanging="360"/>
        <w:jc w:val="left"/>
      </w:pPr>
      <w:r>
        <w:rPr>
          <w:rFonts w:ascii="Calibri" w:hAnsi="Calibri"/>
          <w:color w:val="0068B5"/>
          <w:sz w:val="22"/>
        </w:rPr>
        <w:t xml:space="preserve">▸  </w:t>
      </w:r>
      <w:r>
        <w:rPr>
          <w:rFonts w:ascii="Calibri" w:hAnsi="Calibri"/>
          <w:b/>
          <w:i w:val="0"/>
          <w:color w:val="44556A"/>
          <w:sz w:val="22"/>
        </w:rPr>
        <w:t>Anything measured against the inherited plan's assumptions.</w:t>
      </w:r>
      <w:r>
        <w:rPr>
          <w:rFonts w:ascii="Calibri" w:hAnsi="Calibri"/>
          <w:b w:val="0"/>
          <w:i w:val="0"/>
          <w:color w:val="44556A"/>
          <w:sz w:val="22"/>
        </w:rPr>
        <w:t xml:space="preserve"> "Variance to plan" is meaningless while you're still auditing whether the plan was honest.</w:t>
      </w:r>
    </w:p>
    <w:p>
      <w:pPr>
        <w:spacing w:before="20" w:after="60"/>
        <w:ind w:left="576" w:hanging="360"/>
        <w:jc w:val="left"/>
      </w:pPr>
      <w:r>
        <w:rPr>
          <w:rFonts w:ascii="Calibri" w:hAnsi="Calibri"/>
          <w:color w:val="0068B5"/>
          <w:sz w:val="22"/>
        </w:rPr>
        <w:t xml:space="preserve">▸  </w:t>
      </w:r>
      <w:r>
        <w:rPr>
          <w:rFonts w:ascii="Calibri" w:hAnsi="Calibri"/>
          <w:b/>
          <w:i w:val="0"/>
          <w:color w:val="44556A"/>
          <w:sz w:val="22"/>
        </w:rPr>
        <w:t>Activity metrics.</w:t>
      </w:r>
      <w:r>
        <w:rPr>
          <w:rFonts w:ascii="Calibri" w:hAnsi="Calibri"/>
          <w:b w:val="0"/>
          <w:i w:val="0"/>
          <w:color w:val="44556A"/>
          <w:sz w:val="22"/>
        </w:rPr>
        <w:t xml:space="preserve"> Calls made, features shipped, tickets closed. Effort proxies. You're managing outcomes; the layer below you manages effort.</w:t>
      </w:r>
    </w:p>
    <w:p>
      <w:pPr>
        <w:spacing w:before="20" w:after="60"/>
        <w:ind w:left="576" w:hanging="360"/>
        <w:jc w:val="left"/>
      </w:pPr>
      <w:r>
        <w:rPr>
          <w:rFonts w:ascii="Calibri" w:hAnsi="Calibri"/>
          <w:color w:val="0068B5"/>
          <w:sz w:val="22"/>
        </w:rPr>
        <w:t xml:space="preserve">▸  </w:t>
      </w:r>
      <w:r>
        <w:rPr>
          <w:rFonts w:ascii="Calibri" w:hAnsi="Calibri"/>
          <w:b/>
          <w:i w:val="0"/>
          <w:color w:val="44556A"/>
          <w:sz w:val="22"/>
        </w:rPr>
        <w:t>The industry benchmark deck.</w:t>
      </w:r>
      <w:r>
        <w:rPr>
          <w:rFonts w:ascii="Calibri" w:hAnsi="Calibri"/>
          <w:b w:val="0"/>
          <w:i w:val="0"/>
          <w:color w:val="44556A"/>
          <w:sz w:val="22"/>
        </w:rPr>
        <w:t xml:space="preserve"> Comparing your half-understood P&amp;L to a consultant's composite is precision theater. Benchmarks earn a seat back on the dashboard in quarter two, after your own numbers are real.</w:t>
      </w:r>
    </w:p>
    <w:p>
      <w:pPr>
        <w:spacing w:before="20" w:after="60"/>
        <w:ind w:left="576" w:hanging="360"/>
        <w:jc w:val="left"/>
      </w:pPr>
      <w:r>
        <w:rPr>
          <w:rFonts w:ascii="Calibri" w:hAnsi="Calibri"/>
          <w:color w:val="0068B5"/>
          <w:sz w:val="22"/>
        </w:rPr>
        <w:t xml:space="preserve">▸  </w:t>
      </w:r>
      <w:r>
        <w:rPr>
          <w:rFonts w:ascii="Calibri" w:hAnsi="Calibri"/>
          <w:b/>
          <w:i w:val="0"/>
          <w:color w:val="44556A"/>
          <w:sz w:val="22"/>
        </w:rPr>
        <w:t>Your predecessor's favorite metric.</w:t>
      </w:r>
      <w:r>
        <w:rPr>
          <w:rFonts w:ascii="Calibri" w:hAnsi="Calibri"/>
          <w:b w:val="0"/>
          <w:i w:val="0"/>
          <w:color w:val="44556A"/>
          <w:sz w:val="22"/>
        </w:rPr>
        <w:t xml:space="preserve"> Whatever it was, it survived because it told a flattering story. If it deserves to live, it'll re-earn its place through your audit like everything else.</w:t>
      </w:r>
    </w:p>
    <w:p>
      <w:pPr>
        <w:spacing w:before="0" w:after="140" w:lineRule="auto" w:line="276"/>
        <w:jc w:val="left"/>
      </w:pPr>
      <w:r>
        <w:rPr>
          <w:rFonts w:ascii="Calibri" w:hAnsi="Calibri"/>
          <w:b w:val="0"/>
          <w:i w:val="0"/>
          <w:color w:val="44556A"/>
          <w:sz w:val="22"/>
        </w:rPr>
        <w:t xml:space="preserve">The dashboard's meta-rule: </w:t>
      </w:r>
      <w:r>
        <w:rPr>
          <w:rFonts w:ascii="Calibri" w:hAnsi="Calibri"/>
          <w:b/>
          <w:i w:val="0"/>
          <w:color w:val="44556A"/>
          <w:sz w:val="22"/>
        </w:rPr>
        <w:t>everything on it should be a number you personally understand down to its source.</w:t>
      </w:r>
      <w:r>
        <w:rPr>
          <w:rFonts w:ascii="Calibri" w:hAnsi="Calibri"/>
          <w:b w:val="0"/>
          <w:i w:val="0"/>
          <w:color w:val="44556A"/>
          <w:sz w:val="22"/>
        </w:rPr>
        <w:t xml:space="preserve"> The first time you present a metric you can't defend two questions deep, you've taught the org that your dashboard is decoration. One page, every number load-bearing, reviewed the same hour every week. That cadence — more than any single decision — is what "the new GM actually runs this business" feels like from the inside.</w:t>
      </w:r>
    </w:p>
    <w:p>
      <w:pPr>
        <w:spacing w:before="160" w:after="160"/>
      </w:pPr>
      <w:r>
        <w:rPr>
          <w:rFonts w:ascii="Calibri" w:hAnsi="Calibri"/>
          <w:color w:val="0068B5"/>
          <w:sz w:val="16"/>
        </w:rPr>
        <w:t>────────────────────────────────────────────────────────────────────────────────</w:t>
      </w:r>
    </w:p>
    <w:p>
      <w:pPr>
        <w:spacing w:before="0" w:after="0"/>
      </w:pPr>
      <w:r>
        <w:br w:type="page"/>
      </w:r>
    </w:p>
    <w:p>
      <w:pPr>
        <w:spacing w:before="360" w:after="120"/>
        <w:jc w:val="left"/>
        <w:pBdr>
          <w:bottom w:val="single" w:sz="4" w:space="2" w:color="0068B5"/>
        </w:pBdr>
      </w:pPr>
      <w:r>
        <w:rPr>
          <w:rFonts w:ascii="Calibri" w:hAnsi="Calibri"/>
          <w:b/>
          <w:color w:val="0068B5"/>
          <w:sz w:val="32"/>
        </w:rPr>
        <w:t>Appendix: Keep Going</w:t>
      </w:r>
    </w:p>
    <w:p>
      <w:pPr>
        <w:spacing w:before="0" w:after="140" w:lineRule="auto" w:line="276"/>
        <w:jc w:val="left"/>
      </w:pPr>
      <w:r>
        <w:rPr>
          <w:rFonts w:ascii="Calibri" w:hAnsi="Calibri"/>
          <w:b w:val="0"/>
          <w:i w:val="0"/>
          <w:color w:val="44556A"/>
          <w:sz w:val="22"/>
        </w:rPr>
        <w:t xml:space="preserve">The 90-day ramp gets you the seat. Keeping it — pricing calls, comp battles, reorgs, the politics above you — is a longer game, and it's the one </w:t>
      </w:r>
      <w:r>
        <w:rPr>
          <w:rFonts w:ascii="Calibri" w:hAnsi="Calibri"/>
          <w:b/>
          <w:i w:val="0"/>
          <w:color w:val="44556A"/>
          <w:sz w:val="22"/>
        </w:rPr>
        <w:t>Boss Playbook</w:t>
      </w:r>
      <w:r>
        <w:rPr>
          <w:rFonts w:ascii="Calibri" w:hAnsi="Calibri"/>
          <w:b w:val="0"/>
          <w:i w:val="0"/>
          <w:color w:val="44556A"/>
          <w:sz w:val="22"/>
        </w:rPr>
        <w:t xml:space="preserve"> is written for.</w:t>
      </w:r>
    </w:p>
    <w:p>
      <w:pPr>
        <w:spacing w:before="0" w:after="140" w:lineRule="auto" w:line="276"/>
        <w:jc w:val="left"/>
      </w:pPr>
      <w:r>
        <w:rPr>
          <w:rFonts w:ascii="Calibri" w:hAnsi="Calibri"/>
          <w:b/>
          <w:i w:val="0"/>
          <w:color w:val="44556A"/>
          <w:sz w:val="22"/>
        </w:rPr>
        <w:t>→ Subscribe to the Boss Playbook newsletter</w:t>
      </w:r>
      <w:r>
        <w:rPr>
          <w:rFonts w:ascii="Calibri" w:hAnsi="Calibri"/>
          <w:b w:val="0"/>
          <w:i w:val="0"/>
          <w:color w:val="44556A"/>
          <w:sz w:val="22"/>
        </w:rPr>
        <w:t xml:space="preserve"> — one issue a week for GMs, VPs, and senior tech executives, written by an operator with 30 years of P&amp;Ls and exec rooms behind him. Data, directness, and the things nobody says out loud in boardrooms.</w:t>
      </w:r>
    </w:p>
    <w:p>
      <w:pPr>
        <w:spacing w:before="0" w:after="140" w:lineRule="auto" w:line="276"/>
        <w:jc w:val="left"/>
      </w:pPr>
      <w:r>
        <w:rPr>
          <w:rFonts w:ascii="Calibri" w:hAnsi="Calibri"/>
          <w:b w:val="0"/>
          <w:i/>
          <w:color w:val="44556A"/>
          <w:sz w:val="22"/>
        </w:rPr>
        <w:t>And before your next comp conversation: [Boss Playbook Salary Intelligence](https://salary-site-49i.pages.dev) — executive compensation data by title and city.</w:t>
      </w:r>
    </w:p>
    <w:sectPr w:rsidR="00FC693F" w:rsidRPr="0006063C" w:rsidSect="00034616">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4" w:color="0068B5"/>
      </w:pBdr>
    </w:pPr>
    <w:r>
      <w:rPr>
        <w:rFonts w:ascii="Calibri" w:hAnsi="Calibri"/>
        <w:color w:val="44556A"/>
        <w:sz w:val="16"/>
      </w:rPr>
      <w:t xml:space="preserve">Boss Playbook | bossplaybook.com | Confidential — For Personal Use Only   |   Page </w:t>
    </w:r>
    <w:r>
      <w:rPr>
        <w:rFonts w:ascii="Calibri"/>
        <w:sz w:val="16"/>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44556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